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B40E5">
      <w:pPr>
        <w:spacing w:line="70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关于污水处理站</w:t>
      </w:r>
      <w:r>
        <w:rPr>
          <w:rFonts w:hint="eastAsia" w:ascii="方正小标宋简体" w:hAnsi="方正小标宋简体" w:eastAsia="方正小标宋简体" w:cs="方正小标宋简体"/>
          <w:sz w:val="36"/>
          <w:szCs w:val="36"/>
          <w:lang w:val="en-US" w:eastAsia="zh-CN"/>
        </w:rPr>
        <w:t>在线监测</w:t>
      </w:r>
      <w:r>
        <w:rPr>
          <w:rFonts w:hint="eastAsia" w:ascii="方正小标宋简体" w:hAnsi="方正小标宋简体" w:eastAsia="方正小标宋简体" w:cs="方正小标宋简体"/>
          <w:sz w:val="36"/>
          <w:szCs w:val="36"/>
        </w:rPr>
        <w:t>设备</w:t>
      </w:r>
    </w:p>
    <w:p w14:paraId="307F5AB0">
      <w:pPr>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rPr>
        <w:t>维保服务</w:t>
      </w:r>
      <w:r>
        <w:rPr>
          <w:rFonts w:hint="eastAsia" w:ascii="方正小标宋简体" w:hAnsi="方正小标宋简体" w:eastAsia="方正小标宋简体" w:cs="方正小标宋简体"/>
          <w:sz w:val="36"/>
          <w:szCs w:val="36"/>
          <w:lang w:val="en-US" w:eastAsia="zh-CN"/>
        </w:rPr>
        <w:t>要求</w:t>
      </w:r>
    </w:p>
    <w:p w14:paraId="6597F844">
      <w:pPr>
        <w:spacing w:line="500" w:lineRule="exact"/>
        <w:jc w:val="left"/>
        <w:rPr>
          <w:rFonts w:ascii="Times New Roman" w:hAnsi="Times New Roman"/>
          <w:color w:val="000000"/>
          <w:szCs w:val="21"/>
        </w:rPr>
      </w:pPr>
      <w:r>
        <w:rPr>
          <w:rFonts w:hint="eastAsia"/>
          <w:color w:val="000000"/>
          <w:szCs w:val="21"/>
        </w:rPr>
        <w:t>一</w:t>
      </w:r>
      <w:r>
        <w:rPr>
          <w:color w:val="000000"/>
          <w:szCs w:val="21"/>
        </w:rPr>
        <w:t>、</w:t>
      </w:r>
      <w:r>
        <w:rPr>
          <w:rFonts w:hint="eastAsia"/>
          <w:color w:val="000000"/>
          <w:szCs w:val="21"/>
        </w:rPr>
        <w:t>服务总体要求</w:t>
      </w:r>
    </w:p>
    <w:p w14:paraId="45E432A3">
      <w:pPr>
        <w:pStyle w:val="4"/>
        <w:adjustRightInd w:val="0"/>
        <w:snapToGrid w:val="0"/>
        <w:spacing w:line="500" w:lineRule="exact"/>
        <w:jc w:val="left"/>
        <w:rPr>
          <w:color w:val="000000"/>
          <w:szCs w:val="21"/>
        </w:rPr>
      </w:pPr>
      <w:r>
        <w:rPr>
          <w:color w:val="000000"/>
          <w:szCs w:val="21"/>
        </w:rPr>
        <w:t>1.</w:t>
      </w:r>
      <w:r>
        <w:rPr>
          <w:rFonts w:hint="eastAsia"/>
          <w:color w:val="000000"/>
          <w:szCs w:val="21"/>
        </w:rPr>
        <w:t>负责</w:t>
      </w:r>
      <w:r>
        <w:rPr>
          <w:rFonts w:hint="eastAsia"/>
          <w:color w:val="000000"/>
          <w:szCs w:val="21"/>
          <w:lang w:val="en-US" w:eastAsia="zh-CN"/>
        </w:rPr>
        <w:t>东西区</w:t>
      </w:r>
      <w:r>
        <w:rPr>
          <w:rFonts w:hint="eastAsia"/>
          <w:color w:val="000000"/>
          <w:szCs w:val="21"/>
        </w:rPr>
        <w:t>在线监测系统的正常运行（</w:t>
      </w:r>
      <w:r>
        <w:rPr>
          <w:rFonts w:hint="eastAsia"/>
          <w:color w:val="000000"/>
          <w:szCs w:val="21"/>
          <w:lang w:val="en-US" w:eastAsia="zh-CN"/>
        </w:rPr>
        <w:t>西区在线设备：</w:t>
      </w:r>
      <w:r>
        <w:rPr>
          <w:rFonts w:hint="eastAsia" w:ascii="宋体" w:hAnsi="宋体" w:cs="宋体"/>
          <w:kern w:val="0"/>
          <w:szCs w:val="21"/>
        </w:rPr>
        <w:t>COD</w:t>
      </w:r>
      <w:r>
        <w:rPr>
          <w:rFonts w:hint="eastAsia" w:ascii="宋体" w:hAnsi="宋体" w:cs="宋体"/>
          <w:kern w:val="0"/>
          <w:szCs w:val="21"/>
          <w:lang w:val="en-US" w:eastAsia="zh-CN"/>
        </w:rPr>
        <w:t>cr</w:t>
      </w:r>
      <w:r>
        <w:rPr>
          <w:rFonts w:hint="eastAsia" w:ascii="宋体" w:hAnsi="宋体" w:cs="宋体"/>
          <w:kern w:val="0"/>
          <w:szCs w:val="21"/>
        </w:rPr>
        <w:t>在线监测仪、氨氮在线监测仪、PH在线监测仪、余氯在线监测仪、</w:t>
      </w:r>
      <w:r>
        <w:rPr>
          <w:rFonts w:hint="eastAsia" w:ascii="宋体" w:hAnsi="宋体" w:cs="宋体"/>
          <w:kern w:val="0"/>
          <w:szCs w:val="21"/>
          <w:lang w:val="en-US" w:eastAsia="zh-CN"/>
        </w:rPr>
        <w:t>流量计、</w:t>
      </w:r>
      <w:r>
        <w:rPr>
          <w:rFonts w:hint="eastAsia" w:ascii="宋体" w:hAnsi="宋体" w:cs="宋体"/>
          <w:kern w:val="0"/>
          <w:szCs w:val="21"/>
        </w:rPr>
        <w:t>采样器、</w:t>
      </w:r>
      <w:r>
        <w:rPr>
          <w:rFonts w:hint="eastAsia" w:ascii="宋体" w:hAnsi="宋体" w:cs="宋体"/>
          <w:kern w:val="0"/>
          <w:szCs w:val="21"/>
          <w:lang w:val="en-US" w:eastAsia="zh-CN"/>
        </w:rPr>
        <w:t>数采仪</w:t>
      </w:r>
      <w:r>
        <w:rPr>
          <w:rFonts w:hint="eastAsia" w:ascii="宋体" w:hAnsi="宋体" w:cs="宋体"/>
          <w:kern w:val="0"/>
          <w:szCs w:val="21"/>
        </w:rPr>
        <w:t>及配套采样系统（包括采样泵、管路等）</w:t>
      </w:r>
      <w:r>
        <w:rPr>
          <w:rFonts w:hint="eastAsia" w:ascii="宋体" w:hAnsi="宋体" w:cs="宋体"/>
          <w:kern w:val="0"/>
          <w:szCs w:val="21"/>
          <w:lang w:eastAsia="zh-CN"/>
        </w:rPr>
        <w:t>；</w:t>
      </w:r>
      <w:r>
        <w:rPr>
          <w:rFonts w:hint="eastAsia" w:ascii="宋体" w:hAnsi="宋体" w:cs="宋体"/>
          <w:kern w:val="0"/>
          <w:szCs w:val="21"/>
          <w:lang w:val="en-US" w:eastAsia="zh-CN"/>
        </w:rPr>
        <w:t>东区在线设备：</w:t>
      </w:r>
      <w:r>
        <w:rPr>
          <w:rFonts w:hint="eastAsia" w:ascii="宋体" w:hAnsi="宋体" w:cs="宋体"/>
          <w:kern w:val="0"/>
          <w:szCs w:val="21"/>
        </w:rPr>
        <w:t>余氯在线监测仪、</w:t>
      </w:r>
      <w:r>
        <w:rPr>
          <w:rFonts w:hint="eastAsia" w:ascii="宋体" w:hAnsi="宋体" w:cs="宋体"/>
          <w:kern w:val="0"/>
          <w:szCs w:val="21"/>
          <w:lang w:val="en-US" w:eastAsia="zh-CN"/>
        </w:rPr>
        <w:t>流量计、</w:t>
      </w:r>
      <w:r>
        <w:rPr>
          <w:rFonts w:hint="eastAsia" w:ascii="宋体" w:hAnsi="宋体" w:cs="宋体"/>
          <w:kern w:val="0"/>
          <w:szCs w:val="21"/>
        </w:rPr>
        <w:t>PH在线监测仪的运行维护服务</w:t>
      </w:r>
      <w:r>
        <w:rPr>
          <w:rFonts w:hint="eastAsia"/>
          <w:color w:val="000000"/>
          <w:szCs w:val="21"/>
        </w:rPr>
        <w:t>。</w:t>
      </w:r>
    </w:p>
    <w:p w14:paraId="24F4CDE0">
      <w:pPr>
        <w:pStyle w:val="4"/>
        <w:adjustRightInd w:val="0"/>
        <w:snapToGrid w:val="0"/>
        <w:spacing w:line="500" w:lineRule="exact"/>
        <w:jc w:val="left"/>
        <w:rPr>
          <w:szCs w:val="21"/>
        </w:rPr>
      </w:pPr>
      <w:r>
        <w:rPr>
          <w:color w:val="000000"/>
          <w:szCs w:val="21"/>
        </w:rPr>
        <w:t>2.</w:t>
      </w:r>
      <w:r>
        <w:rPr>
          <w:rFonts w:hint="eastAsia"/>
          <w:color w:val="000000"/>
          <w:szCs w:val="21"/>
        </w:rPr>
        <w:t>对数据传输系统进行管理维护服务，我院指派专人每日在线监测仪进行监控，发现异常、第一时间通知维保公司，维保公司需在</w:t>
      </w:r>
      <w:r>
        <w:rPr>
          <w:rFonts w:hint="eastAsia"/>
          <w:color w:val="000000"/>
          <w:szCs w:val="21"/>
          <w:lang w:val="en-US" w:eastAsia="zh-CN"/>
        </w:rPr>
        <w:t>2</w:t>
      </w:r>
      <w:r>
        <w:rPr>
          <w:rFonts w:hint="eastAsia"/>
          <w:color w:val="000000"/>
          <w:szCs w:val="21"/>
        </w:rPr>
        <w:t>小时内安排人员到现场进行检查、确认。若为仪表自身出现问题，应及时处理并按相关流程要求配合我院上报环保部门</w:t>
      </w:r>
      <w:r>
        <w:rPr>
          <w:rFonts w:hint="eastAsia"/>
          <w:szCs w:val="21"/>
        </w:rPr>
        <w:t>。</w:t>
      </w:r>
    </w:p>
    <w:p w14:paraId="2C7D6A21">
      <w:pPr>
        <w:pStyle w:val="4"/>
        <w:adjustRightInd w:val="0"/>
        <w:snapToGrid w:val="0"/>
        <w:spacing w:line="440" w:lineRule="exact"/>
        <w:rPr>
          <w:rFonts w:ascii="宋体" w:hAnsi="宋体" w:cs="宋体"/>
          <w:kern w:val="0"/>
          <w:szCs w:val="21"/>
        </w:rPr>
      </w:pPr>
      <w:r>
        <w:rPr>
          <w:color w:val="000000"/>
          <w:szCs w:val="21"/>
        </w:rPr>
        <w:t>3.</w:t>
      </w:r>
      <w:r>
        <w:rPr>
          <w:rFonts w:hint="eastAsia" w:ascii="宋体" w:hAnsi="宋体" w:cs="宋体"/>
          <w:kern w:val="0"/>
          <w:szCs w:val="21"/>
        </w:rPr>
        <w:t>保证上传至环保部门平台的数据传输率达到环保要求。（若因停电或非我院导致的数据不能正常上传除外）。</w:t>
      </w:r>
    </w:p>
    <w:p w14:paraId="69CE180C">
      <w:pPr>
        <w:pStyle w:val="4"/>
        <w:adjustRightInd w:val="0"/>
        <w:snapToGrid w:val="0"/>
        <w:spacing w:line="500" w:lineRule="exact"/>
        <w:jc w:val="left"/>
        <w:rPr>
          <w:color w:val="000000"/>
          <w:szCs w:val="21"/>
        </w:rPr>
      </w:pPr>
      <w:r>
        <w:rPr>
          <w:color w:val="000000"/>
          <w:szCs w:val="21"/>
        </w:rPr>
        <w:t>4.</w:t>
      </w:r>
      <w:r>
        <w:rPr>
          <w:rFonts w:hint="eastAsia"/>
          <w:color w:val="000000"/>
          <w:szCs w:val="21"/>
        </w:rPr>
        <w:t>确保数据传输系统的传输值及仪表所显示的监测值偏差小于</w:t>
      </w:r>
      <w:r>
        <w:rPr>
          <w:color w:val="000000"/>
          <w:szCs w:val="21"/>
        </w:rPr>
        <w:t>1‰</w:t>
      </w:r>
      <w:r>
        <w:rPr>
          <w:rFonts w:hint="eastAsia"/>
          <w:color w:val="000000"/>
          <w:szCs w:val="21"/>
        </w:rPr>
        <w:t>，将进水</w:t>
      </w:r>
      <w:r>
        <w:rPr>
          <w:color w:val="000000"/>
          <w:szCs w:val="21"/>
        </w:rPr>
        <w:t>COD</w:t>
      </w:r>
      <w:r>
        <w:rPr>
          <w:rFonts w:hint="eastAsia"/>
          <w:color w:val="000000"/>
          <w:szCs w:val="21"/>
        </w:rPr>
        <w:t>cr、氨氮、PH、流量、余氯，共计5组</w:t>
      </w:r>
      <w:r>
        <w:rPr>
          <w:rFonts w:hint="eastAsia"/>
          <w:szCs w:val="21"/>
        </w:rPr>
        <w:t>数据实时在线数据传输到环保部门，数采仪采用有线网络传输。</w:t>
      </w:r>
    </w:p>
    <w:p w14:paraId="542DA5A0">
      <w:pPr>
        <w:pStyle w:val="4"/>
        <w:adjustRightInd w:val="0"/>
        <w:snapToGrid w:val="0"/>
        <w:spacing w:line="500" w:lineRule="exact"/>
        <w:jc w:val="left"/>
        <w:rPr>
          <w:color w:val="000000"/>
          <w:szCs w:val="21"/>
        </w:rPr>
      </w:pPr>
      <w:r>
        <w:rPr>
          <w:rFonts w:hint="eastAsia"/>
          <w:color w:val="000000"/>
          <w:szCs w:val="21"/>
        </w:rPr>
        <w:t>5.运维频次不低于1次/周，</w:t>
      </w:r>
      <w:r>
        <w:rPr>
          <w:rFonts w:hint="eastAsia"/>
          <w:color w:val="000000" w:themeColor="text1"/>
          <w:szCs w:val="21"/>
          <w14:textFill>
            <w14:solidFill>
              <w14:schemeClr w14:val="tx1"/>
            </w14:solidFill>
          </w14:textFill>
        </w:rPr>
        <w:t>仪表校准每月</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次，仪表实际水标样比对每月</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次，每周对仪表进行质控样考核，且需满足质控要求。质控样考核结果满足水污染源在线监测系统（COD</w:t>
      </w:r>
      <w:r>
        <w:rPr>
          <w:rFonts w:hint="eastAsia"/>
          <w:color w:val="000000" w:themeColor="text1"/>
          <w:szCs w:val="21"/>
          <w:lang w:val="en-US" w:eastAsia="zh-CN"/>
          <w14:textFill>
            <w14:solidFill>
              <w14:schemeClr w14:val="tx1"/>
            </w14:solidFill>
          </w14:textFill>
        </w:rPr>
        <w:t>c</w:t>
      </w:r>
      <w:r>
        <w:rPr>
          <w:rFonts w:hint="eastAsia"/>
          <w:color w:val="000000" w:themeColor="text1"/>
          <w:szCs w:val="21"/>
          <w14:textFill>
            <w14:solidFill>
              <w14:schemeClr w14:val="tx1"/>
            </w14:solidFill>
          </w14:textFill>
        </w:rPr>
        <w:t>r、NH3-N 等）验收技术规范（HJ 354-2019代替 HJ_T 354-2007）。若在考核及比对过程中仪表不满足要求，立即对仪表进行整改，直至</w:t>
      </w:r>
      <w:r>
        <w:rPr>
          <w:rFonts w:hint="eastAsia"/>
          <w:color w:val="000000"/>
          <w:szCs w:val="21"/>
        </w:rPr>
        <w:t>达到上述要求</w:t>
      </w:r>
      <w:r>
        <w:rPr>
          <w:rFonts w:hint="eastAsia"/>
          <w:color w:val="000000" w:themeColor="text1"/>
          <w:szCs w:val="21"/>
          <w14:textFill>
            <w14:solidFill>
              <w14:schemeClr w14:val="tx1"/>
            </w14:solidFill>
          </w14:textFill>
        </w:rPr>
        <w:t>；</w:t>
      </w:r>
      <w:r>
        <w:rPr>
          <w:rFonts w:hint="eastAsia"/>
          <w:color w:val="000000"/>
          <w:szCs w:val="21"/>
        </w:rPr>
        <w:t>建立完善的运行维护记录台账。</w:t>
      </w:r>
    </w:p>
    <w:p w14:paraId="02CC8D28">
      <w:pPr>
        <w:pStyle w:val="4"/>
        <w:adjustRightInd w:val="0"/>
        <w:snapToGrid w:val="0"/>
        <w:spacing w:line="500" w:lineRule="exact"/>
        <w:jc w:val="left"/>
        <w:rPr>
          <w:color w:val="000000"/>
          <w:szCs w:val="21"/>
        </w:rPr>
      </w:pPr>
      <w:r>
        <w:rPr>
          <w:rFonts w:hint="eastAsia"/>
          <w:color w:val="000000"/>
          <w:szCs w:val="21"/>
        </w:rPr>
        <w:t>6.仪表产生的废液维保公司按国家相关部门和环保要求集中收集</w:t>
      </w:r>
      <w:r>
        <w:rPr>
          <w:rFonts w:hint="eastAsia"/>
          <w:bCs/>
          <w:szCs w:val="21"/>
        </w:rPr>
        <w:t>，</w:t>
      </w:r>
      <w:r>
        <w:rPr>
          <w:rFonts w:hint="eastAsia"/>
          <w:szCs w:val="21"/>
        </w:rPr>
        <w:t>储存至我院指定的危废储存地点，并建立完善的收集台账，废液处置及收集场地由我院负责。</w:t>
      </w:r>
    </w:p>
    <w:p w14:paraId="3148BB5C">
      <w:pPr>
        <w:pStyle w:val="4"/>
        <w:adjustRightInd w:val="0"/>
        <w:snapToGrid w:val="0"/>
        <w:spacing w:line="500" w:lineRule="exact"/>
        <w:jc w:val="left"/>
        <w:rPr>
          <w:rFonts w:hint="default" w:eastAsiaTheme="minorEastAsia"/>
          <w:color w:val="000000"/>
          <w:szCs w:val="21"/>
          <w:lang w:val="en-US" w:eastAsia="zh-CN"/>
        </w:rPr>
      </w:pPr>
      <w:r>
        <w:rPr>
          <w:rFonts w:hint="eastAsia"/>
          <w:color w:val="000000"/>
          <w:szCs w:val="21"/>
        </w:rPr>
        <w:t>7</w:t>
      </w:r>
      <w:r>
        <w:rPr>
          <w:color w:val="000000"/>
          <w:szCs w:val="21"/>
        </w:rPr>
        <w:t>.</w:t>
      </w:r>
      <w:r>
        <w:rPr>
          <w:rFonts w:hint="eastAsia"/>
          <w:color w:val="000000"/>
          <w:szCs w:val="21"/>
        </w:rPr>
        <w:t>严格按照污染源在线自动检测系统各设备的使用说明书和操作规程操作及维护设备，按维护周期进行维护和耗材更换。</w:t>
      </w:r>
    </w:p>
    <w:p w14:paraId="19C77C48">
      <w:pPr>
        <w:pStyle w:val="4"/>
        <w:adjustRightInd w:val="0"/>
        <w:snapToGrid w:val="0"/>
        <w:spacing w:line="500" w:lineRule="exact"/>
        <w:jc w:val="left"/>
        <w:rPr>
          <w:color w:val="000000"/>
          <w:szCs w:val="21"/>
        </w:rPr>
      </w:pPr>
      <w:r>
        <w:rPr>
          <w:rFonts w:hint="eastAsia"/>
          <w:color w:val="000000"/>
          <w:szCs w:val="21"/>
        </w:rPr>
        <w:t>8</w:t>
      </w:r>
      <w:r>
        <w:rPr>
          <w:color w:val="000000"/>
          <w:szCs w:val="21"/>
        </w:rPr>
        <w:t>.</w:t>
      </w:r>
      <w:r>
        <w:rPr>
          <w:rFonts w:hint="eastAsia"/>
          <w:color w:val="000000"/>
          <w:szCs w:val="21"/>
        </w:rPr>
        <w:t>仪表分析所用药剂必须使用该仪器仪表对应品牌和型号的原厂药剂配方。同时定期更换药剂，保证药剂在保质期内，不得因药剂过期未及时更换造成在线监测仪表数据异常。</w:t>
      </w:r>
    </w:p>
    <w:p w14:paraId="2F650DB6">
      <w:pPr>
        <w:pStyle w:val="5"/>
        <w:adjustRightInd w:val="0"/>
        <w:snapToGrid w:val="0"/>
        <w:spacing w:line="500" w:lineRule="exact"/>
        <w:jc w:val="left"/>
        <w:rPr>
          <w:color w:val="000000"/>
          <w:szCs w:val="21"/>
        </w:rPr>
      </w:pPr>
      <w:r>
        <w:rPr>
          <w:rFonts w:hint="eastAsia"/>
          <w:color w:val="000000"/>
          <w:szCs w:val="21"/>
        </w:rPr>
        <w:t>9.运维期间，维保公司需保证仪表内管路系统和仪表元器件的清洁，不得因管路系统或仪器仪表的卫生问题影响进行检测的水质，造成在线监测仪表数据异常。</w:t>
      </w:r>
    </w:p>
    <w:p w14:paraId="4F3AB86C">
      <w:pPr>
        <w:pStyle w:val="4"/>
        <w:adjustRightInd w:val="0"/>
        <w:snapToGrid w:val="0"/>
        <w:spacing w:line="500" w:lineRule="exact"/>
        <w:jc w:val="left"/>
        <w:rPr>
          <w:color w:val="000000"/>
          <w:szCs w:val="21"/>
        </w:rPr>
      </w:pPr>
      <w:r>
        <w:rPr>
          <w:rFonts w:hint="eastAsia"/>
          <w:color w:val="000000"/>
          <w:szCs w:val="21"/>
        </w:rPr>
        <w:t>10</w:t>
      </w:r>
      <w:r>
        <w:rPr>
          <w:color w:val="000000"/>
          <w:szCs w:val="21"/>
        </w:rPr>
        <w:t>.</w:t>
      </w:r>
      <w:r>
        <w:rPr>
          <w:rFonts w:hint="eastAsia"/>
          <w:color w:val="000000"/>
          <w:szCs w:val="21"/>
        </w:rPr>
        <w:t>负责配合环保部门对在线系统的例行及临时性比对监测、检查、监督工作，保障在线仪表运行正常，并按要求报送相关监测数据及报表。</w:t>
      </w:r>
    </w:p>
    <w:p w14:paraId="62E82EE6">
      <w:pPr>
        <w:pStyle w:val="4"/>
        <w:adjustRightInd w:val="0"/>
        <w:snapToGrid w:val="0"/>
        <w:spacing w:line="500" w:lineRule="exact"/>
        <w:jc w:val="left"/>
        <w:rPr>
          <w:color w:val="000000" w:themeColor="text1"/>
          <w:szCs w:val="21"/>
          <w14:textFill>
            <w14:solidFill>
              <w14:schemeClr w14:val="tx1"/>
            </w14:solidFill>
          </w14:textFill>
        </w:rPr>
      </w:pPr>
      <w:r>
        <w:rPr>
          <w:rFonts w:hint="eastAsia"/>
          <w:color w:val="000000"/>
          <w:szCs w:val="21"/>
        </w:rPr>
        <w:t>11</w:t>
      </w:r>
      <w:r>
        <w:rPr>
          <w:color w:val="000000"/>
          <w:szCs w:val="21"/>
        </w:rPr>
        <w:t>.</w:t>
      </w:r>
      <w:r>
        <w:rPr>
          <w:rFonts w:hint="eastAsia" w:ascii="宋体" w:hAnsi="宋体" w:cs="宋体"/>
          <w:kern w:val="0"/>
          <w:szCs w:val="21"/>
        </w:rPr>
        <w:t>负责配合完成在线仪表的强制检定工作，并取得证书</w:t>
      </w:r>
      <w:r>
        <w:rPr>
          <w:rFonts w:hint="eastAsia" w:ascii="宋体" w:hAnsi="宋体" w:cs="宋体"/>
          <w:color w:val="FF0000"/>
          <w:kern w:val="0"/>
          <w:szCs w:val="21"/>
        </w:rPr>
        <w:t>（</w:t>
      </w:r>
      <w:r>
        <w:rPr>
          <w:rFonts w:hint="eastAsia" w:ascii="宋体" w:hAnsi="宋体" w:cs="宋体"/>
          <w:color w:val="000000" w:themeColor="text1"/>
          <w:kern w:val="0"/>
          <w:szCs w:val="21"/>
          <w14:textFill>
            <w14:solidFill>
              <w14:schemeClr w14:val="tx1"/>
            </w14:solidFill>
          </w14:textFill>
        </w:rPr>
        <w:t>强制鉴定费由我院支付给第三方监测机构）。</w:t>
      </w:r>
    </w:p>
    <w:p w14:paraId="5387816B">
      <w:pPr>
        <w:pStyle w:val="4"/>
        <w:adjustRightInd w:val="0"/>
        <w:snapToGrid w:val="0"/>
        <w:spacing w:line="500" w:lineRule="exact"/>
        <w:jc w:val="left"/>
        <w:rPr>
          <w:color w:val="000000"/>
          <w:szCs w:val="21"/>
        </w:rPr>
      </w:pPr>
      <w:r>
        <w:rPr>
          <w:color w:val="000000"/>
          <w:szCs w:val="21"/>
        </w:rPr>
        <w:t>1</w:t>
      </w:r>
      <w:r>
        <w:rPr>
          <w:rFonts w:hint="eastAsia"/>
          <w:color w:val="000000"/>
          <w:szCs w:val="21"/>
        </w:rPr>
        <w:t>2</w:t>
      </w:r>
      <w:r>
        <w:rPr>
          <w:color w:val="000000"/>
          <w:szCs w:val="21"/>
        </w:rPr>
        <w:t>.</w:t>
      </w:r>
      <w:r>
        <w:rPr>
          <w:rFonts w:hint="eastAsia"/>
          <w:color w:val="000000"/>
          <w:szCs w:val="21"/>
        </w:rPr>
        <w:t>现场服务各项记录完整、规范，并放置整齐。</w:t>
      </w:r>
    </w:p>
    <w:p w14:paraId="6F859270">
      <w:pPr>
        <w:pStyle w:val="4"/>
        <w:adjustRightInd w:val="0"/>
        <w:snapToGrid w:val="0"/>
        <w:spacing w:line="500" w:lineRule="exact"/>
        <w:jc w:val="left"/>
        <w:rPr>
          <w:rFonts w:hint="eastAsia"/>
          <w:color w:val="000000"/>
          <w:szCs w:val="21"/>
        </w:rPr>
      </w:pPr>
      <w:r>
        <w:rPr>
          <w:rFonts w:hint="eastAsia" w:hAnsi="宋体"/>
          <w:szCs w:val="21"/>
        </w:rPr>
        <w:t>13.</w:t>
      </w:r>
      <w:r>
        <w:rPr>
          <w:rFonts w:hint="eastAsia"/>
          <w:color w:val="000000"/>
          <w:szCs w:val="21"/>
        </w:rPr>
        <w:t xml:space="preserve"> 本招标文件中如未列举的维护事项，按照《水污染源在线监测系统（CODCr、NH3-N 等）运行技术规范》（HJ 355-2019代替 HJ_T 355-2007）中的运行与日常维护要求负责现场监控仪器日常运行维护管理；</w:t>
      </w:r>
    </w:p>
    <w:p w14:paraId="4D12E8DE">
      <w:pPr>
        <w:pStyle w:val="4"/>
        <w:adjustRightInd w:val="0"/>
        <w:snapToGrid w:val="0"/>
        <w:spacing w:line="500" w:lineRule="exact"/>
        <w:jc w:val="left"/>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14．运营维护期间所有配件及耗材损坏或故障均由运维公司免费维修及更换</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包括手工余氯比对药剂</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w:t>
      </w:r>
    </w:p>
    <w:p w14:paraId="69BBF914">
      <w:pPr>
        <w:pStyle w:val="4"/>
        <w:adjustRightInd w:val="0"/>
        <w:snapToGrid w:val="0"/>
        <w:spacing w:line="500" w:lineRule="exact"/>
        <w:jc w:val="left"/>
        <w:rPr>
          <w:rFonts w:hint="default" w:eastAsiaTheme="minor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15.供应商应具备药剂实验室。</w:t>
      </w:r>
    </w:p>
    <w:p w14:paraId="0B9B1929">
      <w:pPr>
        <w:pStyle w:val="4"/>
        <w:adjustRightInd w:val="0"/>
        <w:snapToGrid w:val="0"/>
        <w:spacing w:line="500" w:lineRule="exact"/>
        <w:ind w:firstLine="0" w:firstLineChars="0"/>
        <w:jc w:val="left"/>
        <w:outlineLvl w:val="0"/>
        <w:rPr>
          <w:color w:val="000000"/>
          <w:szCs w:val="21"/>
        </w:rPr>
      </w:pPr>
      <w:r>
        <w:rPr>
          <w:rFonts w:hint="eastAsia"/>
          <w:color w:val="000000"/>
          <w:szCs w:val="21"/>
        </w:rPr>
        <w:t>二、具体要求</w:t>
      </w:r>
    </w:p>
    <w:p w14:paraId="14B51746">
      <w:pPr>
        <w:adjustRightInd w:val="0"/>
        <w:snapToGrid w:val="0"/>
        <w:spacing w:line="500" w:lineRule="exact"/>
        <w:jc w:val="left"/>
        <w:rPr>
          <w:color w:val="000000"/>
          <w:szCs w:val="21"/>
        </w:rPr>
      </w:pPr>
      <w:r>
        <w:rPr>
          <w:color w:val="000000"/>
          <w:szCs w:val="21"/>
        </w:rPr>
        <w:t xml:space="preserve">    1</w:t>
      </w:r>
      <w:r>
        <w:rPr>
          <w:rFonts w:hint="eastAsia"/>
          <w:color w:val="000000"/>
          <w:szCs w:val="21"/>
        </w:rPr>
        <w:t>、运行维护管理服务：含技术人员现场维修、培训支持、</w:t>
      </w:r>
      <w:r>
        <w:rPr>
          <w:rFonts w:hint="eastAsia"/>
          <w:szCs w:val="21"/>
        </w:rPr>
        <w:t>易损备件更换</w:t>
      </w:r>
      <w:r>
        <w:rPr>
          <w:rFonts w:hint="eastAsia"/>
          <w:color w:val="000000"/>
          <w:szCs w:val="21"/>
        </w:rPr>
        <w:t>以及疑难问题设备制造商异地支持的服务等。</w:t>
      </w:r>
    </w:p>
    <w:p w14:paraId="5000065E">
      <w:pPr>
        <w:adjustRightInd w:val="0"/>
        <w:snapToGrid w:val="0"/>
        <w:spacing w:line="500" w:lineRule="exact"/>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维护周期如下：</w:t>
      </w:r>
    </w:p>
    <w:tbl>
      <w:tblPr>
        <w:tblStyle w:val="2"/>
        <w:tblW w:w="84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938"/>
        <w:gridCol w:w="1990"/>
        <w:gridCol w:w="4843"/>
      </w:tblGrid>
      <w:tr w14:paraId="4ED1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4" w:type="dxa"/>
            <w:tcBorders>
              <w:top w:val="single" w:color="auto" w:sz="4" w:space="0"/>
              <w:left w:val="single" w:color="auto" w:sz="4" w:space="0"/>
              <w:bottom w:val="single" w:color="auto" w:sz="4" w:space="0"/>
              <w:right w:val="single" w:color="auto" w:sz="4" w:space="0"/>
            </w:tcBorders>
            <w:vAlign w:val="center"/>
          </w:tcPr>
          <w:p w14:paraId="73A0F511">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序号</w:t>
            </w:r>
          </w:p>
        </w:tc>
        <w:tc>
          <w:tcPr>
            <w:tcW w:w="938" w:type="dxa"/>
            <w:tcBorders>
              <w:top w:val="single" w:color="auto" w:sz="4" w:space="0"/>
              <w:left w:val="single" w:color="auto" w:sz="4" w:space="0"/>
              <w:bottom w:val="single" w:color="auto" w:sz="4" w:space="0"/>
              <w:right w:val="single" w:color="auto" w:sz="4" w:space="0"/>
            </w:tcBorders>
            <w:vAlign w:val="center"/>
          </w:tcPr>
          <w:p w14:paraId="37A3FCFE">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维护系统名称</w:t>
            </w:r>
          </w:p>
        </w:tc>
        <w:tc>
          <w:tcPr>
            <w:tcW w:w="1990" w:type="dxa"/>
            <w:tcBorders>
              <w:top w:val="single" w:color="auto" w:sz="4" w:space="0"/>
              <w:left w:val="single" w:color="auto" w:sz="4" w:space="0"/>
              <w:bottom w:val="single" w:color="auto" w:sz="4" w:space="0"/>
              <w:right w:val="single" w:color="auto" w:sz="4" w:space="0"/>
            </w:tcBorders>
            <w:vAlign w:val="center"/>
          </w:tcPr>
          <w:p w14:paraId="1B86E79F">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维护周期</w:t>
            </w:r>
          </w:p>
        </w:tc>
        <w:tc>
          <w:tcPr>
            <w:tcW w:w="4843" w:type="dxa"/>
            <w:tcBorders>
              <w:top w:val="single" w:color="auto" w:sz="4" w:space="0"/>
              <w:left w:val="single" w:color="auto" w:sz="4" w:space="0"/>
              <w:bottom w:val="single" w:color="auto" w:sz="4" w:space="0"/>
              <w:right w:val="single" w:color="auto" w:sz="4" w:space="0"/>
            </w:tcBorders>
            <w:vAlign w:val="center"/>
          </w:tcPr>
          <w:p w14:paraId="5A2D2203">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易损件更换或维护要求</w:t>
            </w:r>
          </w:p>
        </w:tc>
      </w:tr>
      <w:tr w14:paraId="1359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72FA591">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c>
          <w:tcPr>
            <w:tcW w:w="938" w:type="dxa"/>
            <w:tcBorders>
              <w:top w:val="single" w:color="auto" w:sz="4" w:space="0"/>
              <w:left w:val="single" w:color="auto" w:sz="4" w:space="0"/>
              <w:bottom w:val="single" w:color="auto" w:sz="4" w:space="0"/>
              <w:right w:val="single" w:color="auto" w:sz="4" w:space="0"/>
            </w:tcBorders>
            <w:vAlign w:val="center"/>
          </w:tcPr>
          <w:p w14:paraId="16696813">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采样系统（水质采样器）清洗</w:t>
            </w:r>
          </w:p>
        </w:tc>
        <w:tc>
          <w:tcPr>
            <w:tcW w:w="1990" w:type="dxa"/>
            <w:tcBorders>
              <w:top w:val="single" w:color="auto" w:sz="4" w:space="0"/>
              <w:left w:val="single" w:color="auto" w:sz="4" w:space="0"/>
              <w:bottom w:val="single" w:color="auto" w:sz="4" w:space="0"/>
              <w:right w:val="single" w:color="auto" w:sz="4" w:space="0"/>
            </w:tcBorders>
            <w:vAlign w:val="center"/>
          </w:tcPr>
          <w:p w14:paraId="591D2042">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1次/周</w:t>
            </w:r>
          </w:p>
        </w:tc>
        <w:tc>
          <w:tcPr>
            <w:tcW w:w="4843" w:type="dxa"/>
            <w:tcBorders>
              <w:top w:val="single" w:color="auto" w:sz="4" w:space="0"/>
              <w:left w:val="single" w:color="auto" w:sz="4" w:space="0"/>
              <w:bottom w:val="single" w:color="auto" w:sz="4" w:space="0"/>
              <w:right w:val="single" w:color="auto" w:sz="4" w:space="0"/>
            </w:tcBorders>
            <w:vAlign w:val="center"/>
          </w:tcPr>
          <w:p w14:paraId="0090775E">
            <w:pPr>
              <w:numPr>
                <w:ilvl w:val="0"/>
                <w:numId w:val="1"/>
              </w:numPr>
              <w:spacing w:line="360" w:lineRule="exact"/>
              <w:ind w:left="357" w:hanging="357"/>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将采样底阀清洗，采样管路清洗，必要时更换采水底阀。</w:t>
            </w:r>
          </w:p>
          <w:p w14:paraId="692222BA">
            <w:pPr>
              <w:numPr>
                <w:ilvl w:val="0"/>
                <w:numId w:val="1"/>
              </w:numPr>
              <w:spacing w:line="360" w:lineRule="exact"/>
              <w:ind w:left="357" w:hanging="357"/>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如管路堵塞，采用3%稀盐酸，对透明采样管进行清洗。清洗完毕后15分钟手动运行一次采水流程，以便将管路中残余药剂清洗掉。</w:t>
            </w:r>
          </w:p>
          <w:p w14:paraId="14792767">
            <w:pPr>
              <w:numPr>
                <w:ilvl w:val="0"/>
                <w:numId w:val="1"/>
              </w:numPr>
              <w:spacing w:line="360" w:lineRule="exact"/>
              <w:ind w:left="357" w:hanging="357"/>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恢复取水管路原状。</w:t>
            </w:r>
          </w:p>
          <w:p w14:paraId="3CB83B90">
            <w:pPr>
              <w:pStyle w:val="6"/>
              <w:numPr>
                <w:ilvl w:val="0"/>
                <w:numId w:val="1"/>
              </w:numPr>
              <w:ind w:firstLineChars="0"/>
              <w:rPr>
                <w:rFonts w:hint="eastAsia" w:ascii="宋体" w:hAnsi="宋体"/>
                <w:sz w:val="18"/>
                <w:szCs w:val="18"/>
              </w:rPr>
            </w:pPr>
            <w:r>
              <w:rPr>
                <w:rFonts w:hint="eastAsia" w:ascii="宋体" w:hAnsi="宋体"/>
                <w:sz w:val="18"/>
                <w:szCs w:val="18"/>
              </w:rPr>
              <w:t>对总排口在线监测仪器抽水泵进行维护保养。</w:t>
            </w:r>
          </w:p>
          <w:p w14:paraId="32765FFF">
            <w:pPr>
              <w:pStyle w:val="6"/>
              <w:numPr>
                <w:ilvl w:val="0"/>
                <w:numId w:val="1"/>
              </w:numPr>
              <w:ind w:firstLineChars="0"/>
              <w:rPr>
                <w:rFonts w:ascii="宋体" w:hAnsi="宋体"/>
                <w:sz w:val="18"/>
                <w:szCs w:val="18"/>
              </w:rPr>
            </w:pPr>
            <w:r>
              <w:rPr>
                <w:rFonts w:hint="eastAsia" w:ascii="宋体" w:hAnsi="宋体"/>
                <w:sz w:val="18"/>
                <w:szCs w:val="18"/>
              </w:rPr>
              <w:t>检查水质采样器泵管是否需要更换。</w:t>
            </w:r>
          </w:p>
        </w:tc>
      </w:tr>
      <w:tr w14:paraId="083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31956683">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938" w:type="dxa"/>
            <w:tcBorders>
              <w:top w:val="single" w:color="auto" w:sz="4" w:space="0"/>
              <w:left w:val="single" w:color="auto" w:sz="4" w:space="0"/>
              <w:bottom w:val="single" w:color="auto" w:sz="4" w:space="0"/>
              <w:right w:val="single" w:color="auto" w:sz="4" w:space="0"/>
            </w:tcBorders>
            <w:vAlign w:val="center"/>
          </w:tcPr>
          <w:p w14:paraId="4B1CAE7C">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数采仪</w:t>
            </w:r>
          </w:p>
        </w:tc>
        <w:tc>
          <w:tcPr>
            <w:tcW w:w="1990" w:type="dxa"/>
            <w:tcBorders>
              <w:top w:val="single" w:color="auto" w:sz="4" w:space="0"/>
              <w:left w:val="single" w:color="auto" w:sz="4" w:space="0"/>
              <w:bottom w:val="single" w:color="auto" w:sz="4" w:space="0"/>
              <w:right w:val="single" w:color="auto" w:sz="4" w:space="0"/>
            </w:tcBorders>
            <w:vAlign w:val="center"/>
          </w:tcPr>
          <w:p w14:paraId="7FB51E23">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1次/周</w:t>
            </w:r>
          </w:p>
        </w:tc>
        <w:tc>
          <w:tcPr>
            <w:tcW w:w="4843" w:type="dxa"/>
            <w:tcBorders>
              <w:top w:val="single" w:color="auto" w:sz="4" w:space="0"/>
              <w:left w:val="single" w:color="auto" w:sz="4" w:space="0"/>
              <w:bottom w:val="single" w:color="auto" w:sz="4" w:space="0"/>
              <w:right w:val="single" w:color="auto" w:sz="4" w:space="0"/>
            </w:tcBorders>
            <w:vAlign w:val="center"/>
          </w:tcPr>
          <w:p w14:paraId="0E1609E7">
            <w:pPr>
              <w:numPr>
                <w:ilvl w:val="0"/>
                <w:numId w:val="2"/>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确保在线检测仪器与数采仪的连接一一对应正确且牢固。</w:t>
            </w:r>
          </w:p>
          <w:p w14:paraId="06B69DDC">
            <w:pPr>
              <w:numPr>
                <w:ilvl w:val="0"/>
                <w:numId w:val="2"/>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通过现场观察在线监测仪器与数采仪之间数据是否正确，无误差。</w:t>
            </w:r>
          </w:p>
          <w:p w14:paraId="5EE7383C">
            <w:pPr>
              <w:numPr>
                <w:ilvl w:val="0"/>
                <w:numId w:val="2"/>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检查数采仪状态数据传输和报警灯，确保数据传输和报警正常。</w:t>
            </w:r>
          </w:p>
          <w:p w14:paraId="77E38833">
            <w:pPr>
              <w:numPr>
                <w:ilvl w:val="0"/>
                <w:numId w:val="2"/>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检查数采仪的系统时钟是否与北京时间一致。</w:t>
            </w:r>
          </w:p>
        </w:tc>
      </w:tr>
      <w:tr w14:paraId="25BD8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728D91F">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938" w:type="dxa"/>
            <w:tcBorders>
              <w:top w:val="single" w:color="auto" w:sz="4" w:space="0"/>
              <w:left w:val="single" w:color="auto" w:sz="4" w:space="0"/>
              <w:bottom w:val="single" w:color="auto" w:sz="4" w:space="0"/>
              <w:right w:val="single" w:color="auto" w:sz="4" w:space="0"/>
            </w:tcBorders>
            <w:vAlign w:val="center"/>
          </w:tcPr>
          <w:p w14:paraId="42E3C314">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CODcr</w:t>
            </w:r>
            <w:r>
              <w:rPr>
                <w:rFonts w:hint="eastAsia" w:ascii="宋体" w:hAnsi="宋体"/>
                <w:color w:val="000000" w:themeColor="text1"/>
                <w:sz w:val="18"/>
                <w:szCs w:val="18"/>
                <w:lang w:val="en-US" w:eastAsia="zh-CN"/>
                <w14:textFill>
                  <w14:solidFill>
                    <w14:schemeClr w14:val="tx1"/>
                  </w14:solidFill>
                </w14:textFill>
              </w:rPr>
              <w:t>在线监测仪</w:t>
            </w:r>
            <w:r>
              <w:rPr>
                <w:rFonts w:hint="eastAsia" w:ascii="宋体" w:hAnsi="宋体"/>
                <w:color w:val="000000" w:themeColor="text1"/>
                <w:sz w:val="18"/>
                <w:szCs w:val="18"/>
                <w14:textFill>
                  <w14:solidFill>
                    <w14:schemeClr w14:val="tx1"/>
                  </w14:solidFill>
                </w14:textFill>
              </w:rPr>
              <w:t>、氨氮</w:t>
            </w:r>
            <w:r>
              <w:rPr>
                <w:rFonts w:hint="eastAsia" w:ascii="宋体" w:hAnsi="宋体"/>
                <w:color w:val="000000" w:themeColor="text1"/>
                <w:sz w:val="18"/>
                <w:szCs w:val="18"/>
                <w:lang w:val="en-US" w:eastAsia="zh-CN"/>
                <w14:textFill>
                  <w14:solidFill>
                    <w14:schemeClr w14:val="tx1"/>
                  </w14:solidFill>
                </w14:textFill>
              </w:rPr>
              <w:t>在线监测仪</w:t>
            </w:r>
            <w:r>
              <w:rPr>
                <w:rFonts w:hint="eastAsia" w:ascii="宋体" w:hAnsi="宋体"/>
                <w:color w:val="000000" w:themeColor="text1"/>
                <w:sz w:val="18"/>
                <w:szCs w:val="18"/>
                <w14:textFill>
                  <w14:solidFill>
                    <w14:schemeClr w14:val="tx1"/>
                  </w14:solidFill>
                </w14:textFill>
              </w:rPr>
              <w:t>、PH</w:t>
            </w:r>
            <w:r>
              <w:rPr>
                <w:rFonts w:hint="eastAsia" w:ascii="宋体" w:hAnsi="宋体"/>
                <w:color w:val="000000" w:themeColor="text1"/>
                <w:sz w:val="18"/>
                <w:szCs w:val="18"/>
                <w:lang w:val="en-US" w:eastAsia="zh-CN"/>
                <w14:textFill>
                  <w14:solidFill>
                    <w14:schemeClr w14:val="tx1"/>
                  </w14:solidFill>
                </w14:textFill>
              </w:rPr>
              <w:t>在线监测仪</w:t>
            </w:r>
            <w:r>
              <w:rPr>
                <w:rFonts w:hint="eastAsia" w:ascii="宋体" w:hAnsi="宋体"/>
                <w:color w:val="000000" w:themeColor="text1"/>
                <w:sz w:val="18"/>
                <w:szCs w:val="18"/>
                <w14:textFill>
                  <w14:solidFill>
                    <w14:schemeClr w14:val="tx1"/>
                  </w14:solidFill>
                </w14:textFill>
              </w:rPr>
              <w:t>、余氯在线</w:t>
            </w:r>
            <w:r>
              <w:rPr>
                <w:rFonts w:hint="eastAsia" w:ascii="宋体" w:hAnsi="宋体"/>
                <w:color w:val="000000" w:themeColor="text1"/>
                <w:sz w:val="18"/>
                <w:szCs w:val="18"/>
                <w:lang w:val="en-US" w:eastAsia="zh-CN"/>
                <w14:textFill>
                  <w14:solidFill>
                    <w14:schemeClr w14:val="tx1"/>
                  </w14:solidFill>
                </w14:textFill>
              </w:rPr>
              <w:t>监测</w:t>
            </w:r>
            <w:r>
              <w:rPr>
                <w:rFonts w:hint="eastAsia" w:ascii="宋体" w:hAnsi="宋体"/>
                <w:color w:val="000000" w:themeColor="text1"/>
                <w:sz w:val="18"/>
                <w:szCs w:val="18"/>
                <w14:textFill>
                  <w14:solidFill>
                    <w14:schemeClr w14:val="tx1"/>
                  </w14:solidFill>
                </w14:textFill>
              </w:rPr>
              <w:t>仪</w:t>
            </w:r>
          </w:p>
        </w:tc>
        <w:tc>
          <w:tcPr>
            <w:tcW w:w="1990" w:type="dxa"/>
            <w:tcBorders>
              <w:top w:val="single" w:color="auto" w:sz="4" w:space="0"/>
              <w:left w:val="single" w:color="auto" w:sz="4" w:space="0"/>
              <w:bottom w:val="single" w:color="auto" w:sz="4" w:space="0"/>
              <w:right w:val="single" w:color="auto" w:sz="4" w:space="0"/>
            </w:tcBorders>
            <w:vAlign w:val="center"/>
          </w:tcPr>
          <w:p w14:paraId="511AAA20">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1次/周</w:t>
            </w:r>
          </w:p>
        </w:tc>
        <w:tc>
          <w:tcPr>
            <w:tcW w:w="4843" w:type="dxa"/>
            <w:tcBorders>
              <w:top w:val="single" w:color="auto" w:sz="4" w:space="0"/>
              <w:left w:val="single" w:color="auto" w:sz="4" w:space="0"/>
              <w:bottom w:val="single" w:color="auto" w:sz="4" w:space="0"/>
              <w:right w:val="single" w:color="auto" w:sz="4" w:space="0"/>
            </w:tcBorders>
            <w:vAlign w:val="center"/>
          </w:tcPr>
          <w:p w14:paraId="2305F8E0">
            <w:pPr>
              <w:pStyle w:val="7"/>
              <w:numPr>
                <w:ilvl w:val="0"/>
                <w:numId w:val="3"/>
              </w:numPr>
              <w:spacing w:line="360" w:lineRule="exact"/>
              <w:ind w:firstLineChars="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检查分析仪加热模块是否正常，更换加热丝（1次/每年）。</w:t>
            </w:r>
          </w:p>
          <w:p w14:paraId="7EEEE64F">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更换试剂，对仪器进行标定，标液核查（1次/月）。</w:t>
            </w:r>
          </w:p>
          <w:p w14:paraId="01821C7C">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清除反应室内水垢，疏通管道，定期更换连接管路配件。</w:t>
            </w:r>
          </w:p>
          <w:p w14:paraId="0776ADD2">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确保各个蠕动泵工作正常，对蠕动泵进行计量校正（1次/月），对磨损的蠕动泵管进行更换(1次/</w:t>
            </w:r>
            <w:r>
              <w:rPr>
                <w:rFonts w:hint="eastAsia" w:ascii="宋体" w:hAnsi="宋体"/>
                <w:color w:val="000000" w:themeColor="text1"/>
                <w:sz w:val="18"/>
                <w:szCs w:val="18"/>
                <w:lang w:val="en-US" w:eastAsia="zh-CN"/>
                <w14:textFill>
                  <w14:solidFill>
                    <w14:schemeClr w14:val="tx1"/>
                  </w14:solidFill>
                </w14:textFill>
              </w:rPr>
              <w:t>季度</w:t>
            </w:r>
            <w:r>
              <w:rPr>
                <w:rFonts w:hint="eastAsia" w:ascii="宋体" w:hAnsi="宋体"/>
                <w:color w:val="000000" w:themeColor="text1"/>
                <w:sz w:val="18"/>
                <w:szCs w:val="18"/>
                <w14:textFill>
                  <w14:solidFill>
                    <w14:schemeClr w14:val="tx1"/>
                  </w14:solidFill>
                </w14:textFill>
              </w:rPr>
              <w:t>)。</w:t>
            </w:r>
          </w:p>
          <w:p w14:paraId="0CB8CD39">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更换全套水样、试剂管路（1次/年）。</w:t>
            </w:r>
          </w:p>
          <w:p w14:paraId="5F50CB4A">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测试观察各泵阀是否运行正常，必要时进行清洗。</w:t>
            </w:r>
          </w:p>
          <w:p w14:paraId="2FF813CA">
            <w:pPr>
              <w:numPr>
                <w:ilvl w:val="0"/>
                <w:numId w:val="3"/>
              </w:numPr>
              <w:spacing w:line="360" w:lineRule="exac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检查温度传感器温度测量是否正常，用带温度感应的万用表进行测试，更换温度传感器（1次/年）。</w:t>
            </w:r>
          </w:p>
          <w:p w14:paraId="751BE3C4">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检查PH及余氯电极是否老化，是否需要更换。</w:t>
            </w:r>
          </w:p>
        </w:tc>
      </w:tr>
    </w:tbl>
    <w:p w14:paraId="23E5A3AE">
      <w:pPr>
        <w:jc w:val="center"/>
        <w:rPr>
          <w:rFonts w:hint="eastAsia" w:ascii="方正小标宋简体" w:hAnsi="方正小标宋简体" w:eastAsia="方正小标宋简体" w:cs="方正小标宋简体"/>
          <w:sz w:val="36"/>
          <w:szCs w:val="36"/>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1F"/>
    <w:multiLevelType w:val="multilevel"/>
    <w:tmpl w:val="0000001F"/>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20"/>
    <w:multiLevelType w:val="multilevel"/>
    <w:tmpl w:val="00000020"/>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9648C5"/>
    <w:rsid w:val="52964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列出段落2"/>
    <w:basedOn w:val="1"/>
    <w:qFormat/>
    <w:uiPriority w:val="99"/>
    <w:pPr>
      <w:ind w:firstLine="420" w:firstLineChars="200"/>
    </w:pPr>
  </w:style>
  <w:style w:type="paragraph" w:customStyle="1" w:styleId="5">
    <w:name w:val="列出段落3"/>
    <w:basedOn w:val="1"/>
    <w:qFormat/>
    <w:uiPriority w:val="99"/>
    <w:pPr>
      <w:ind w:firstLine="420" w:firstLineChars="200"/>
    </w:pPr>
  </w:style>
  <w:style w:type="paragraph" w:styleId="6">
    <w:name w:val="List Paragraph"/>
    <w:basedOn w:val="1"/>
    <w:unhideWhenUsed/>
    <w:qFormat/>
    <w:uiPriority w:val="99"/>
    <w:pPr>
      <w:ind w:firstLine="420" w:firstLineChars="200"/>
    </w:pPr>
  </w:style>
  <w:style w:type="paragraph" w:customStyle="1" w:styleId="7">
    <w:name w:val="_Style 4"/>
    <w:basedOn w:val="1"/>
    <w:qFormat/>
    <w:uiPriority w:val="0"/>
    <w:pPr>
      <w:ind w:firstLine="420" w:firstLineChars="20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2026-07-06T03:18:00Z</dcterms:created>
  <dc:creator>WPS_1632111984</dc:creator>
  <cp:lastModifiedBy>WPS_1632111984</cp:lastModifiedBy>
  <dcterms:modified xsi:type="dcterms:W3CDTF">2026-07-06T03:19:15Z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4204529492B94F3BA210C1232CCF3257_11</vt:lpwstr>
  </property>
  <property fmtid="{D5CDD505-2E9C-101B-9397-08002B2CF9AE}" pid="4" name="KSOTemplateDocerSaveRecord">
    <vt:lpwstr>eyJoZGlkIjoiYzFhZGY0ZTViYWQyN2I0ZGJhNDk0OThkMjNkNmQ2MDYiLCJ1c2VySWQiOiIxMjcwMjYzNDA1In0=</vt:lpwstr>
  </property>
</Properties>
</file>