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51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6"/>
        <w:gridCol w:w="767"/>
        <w:gridCol w:w="767"/>
        <w:gridCol w:w="767"/>
        <w:gridCol w:w="54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1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项目序号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申购科室名称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申购设备名称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进口/国产</w:t>
            </w:r>
          </w:p>
        </w:tc>
        <w:tc>
          <w:tcPr>
            <w:tcW w:w="5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3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泌尿外科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负压清石系统及配套水泵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适合病症：肾结石、输尿管上段结石、PCN术后残余结石等碎石取石。配合输尿管软镜手术精准控压，降低腔内高压返流风险，减少激光热损伤，通过负压吸引取石。需要达到监测及数字化显示、强内压力反馈、自动调节吸引力、平台报警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1、灌注流量应在（50-500）ml/min范围内可调；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2、具有腔内液体实时相对压力监测；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3、灌注吸引自动模式可以根据腔内液体压力值自动调节负压泵，从而维持腔内液体压力设定的安全范围内；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4、腔内压力设定范围为国家规定的标准范围；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5、有数据拷贝接口，可以将相关数据拷贝到 U 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6、配置要求（包含但不限于）：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1）平台主机               1台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2）台车                   1台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3）结石收集器             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4）收集容器               2个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5）吸引管道               2套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6）液体灌注管道           2套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7" w:hRule="atLeast"/>
        </w:trPr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泌尿外科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铥激光能量发生器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5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主要用于泌尿系结石碎石取石、膀胱肿瘤的汽化和凝固。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1．传输系统：多种规格光纤（至少具备200μm、272μm、365μm、550μm、800μm和1000μm），且光纤为四层结构，具备光纤破损自动识别保护报警功能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2．激光器工作方式：连续波和脉冲波；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3.工作激光输出波长：1900-2100nm 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4．脉冲宽度可调范围大&gt;30ms；最窄脉宽：0.2ms；最宽脉宽：32ms；</w:t>
            </w:r>
          </w:p>
        </w:tc>
      </w:tr>
      <w:bookmarkEnd w:id="0"/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7D2C21E8"/>
    <w:rsid w:val="7D2C2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653</Words>
  <Characters>775</Characters>
  <Lines>0</Lines>
  <Paragraphs>0</Paragraphs>
  <TotalTime>0</TotalTime>
  <ScaleCrop>false</ScaleCrop>
  <LinksUpToDate>false</LinksUpToDate>
  <CharactersWithSpaces>873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2023-03-30T08:21:00Z</dcterms:created>
  <dc:creator>医学装备科</dc:creator>
  <cp:lastModifiedBy>医学装备科</cp:lastModifiedBy>
  <dcterms:modified xsi:type="dcterms:W3CDTF">2023-03-30T08:22:07Z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CE77BC2131524EE7859B44BFB6A53D5A_11</vt:lpwstr>
  </property>
</Properties>
</file>