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关于VTE智能防治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及病历病案质控平台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建设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项目</w:t>
      </w:r>
    </w:p>
    <w:p>
      <w:pPr>
        <w:jc w:val="center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调研需求</w:t>
      </w:r>
    </w:p>
    <w:p>
      <w:pPr>
        <w:pStyle w:val="3"/>
        <w:rPr>
          <w:rFonts w:hint="eastAsia" w:ascii="宋体" w:hAnsi="宋体" w:eastAsia="宋体" w:cs="宋体"/>
        </w:rPr>
      </w:pPr>
    </w:p>
    <w:p>
      <w:pPr>
        <w:pStyle w:val="2"/>
        <w:numPr>
          <w:ilvl w:val="0"/>
          <w:numId w:val="0"/>
        </w:numPr>
        <w:bidi w:val="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一、</w:t>
      </w:r>
      <w:r>
        <w:rPr>
          <w:rFonts w:hint="eastAsia" w:ascii="宋体" w:hAnsi="宋体" w:eastAsia="宋体" w:cs="宋体"/>
          <w:sz w:val="32"/>
          <w:szCs w:val="32"/>
        </w:rPr>
        <w:t>建设目标</w:t>
      </w:r>
      <w:bookmarkStart w:id="1" w:name="_GoBack"/>
      <w:bookmarkEnd w:id="1"/>
    </w:p>
    <w:p>
      <w:pPr>
        <w:numPr>
          <w:ilvl w:val="0"/>
          <w:numId w:val="0"/>
        </w:numPr>
        <w:rPr>
          <w:rFonts w:hint="default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1、VTE 智能防治</w:t>
      </w:r>
    </w:p>
    <w:p>
      <w:pPr>
        <w:bidi w:val="0"/>
        <w:ind w:firstLine="48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诊疗路径是实现医院病种建设同质化规范化的最有效工具，本项目建设希望通过AI评估+AI质控+诊疗路径的模式全面提升医院VTE管理流程及工作效率：</w:t>
      </w:r>
    </w:p>
    <w:p>
      <w:pPr>
        <w:ind w:firstLine="480" w:firstLineChars="200"/>
        <w:jc w:val="left"/>
        <w:rPr>
          <w:rFonts w:hint="eastAsia" w:asciiTheme="minorEastAsia" w:hAnsiTheme="minorEastAsia" w:eastAsiaTheme="minorEastAsia" w:cstheme="minorEastAsia"/>
          <w:b/>
          <w:bCs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highlight w:val="none"/>
          <w:shd w:val="clear" w:color="auto" w:fill="FFFFFF"/>
        </w:rPr>
        <w:t>（1）</w:t>
      </w:r>
      <w:r>
        <w:rPr>
          <w:rFonts w:hint="eastAsia" w:asciiTheme="minorEastAsia" w:hAnsiTheme="minorEastAsia" w:eastAsiaTheme="minorEastAsia" w:cstheme="minorEastAsia"/>
          <w:b/>
          <w:bCs/>
          <w:highlight w:val="none"/>
          <w:shd w:val="clear" w:color="auto" w:fill="FFFFFF"/>
          <w:lang w:val="en-US" w:eastAsia="zh-CN"/>
        </w:rPr>
        <w:t>评估阶段：</w:t>
      </w:r>
      <w:r>
        <w:rPr>
          <w:rFonts w:hint="eastAsia" w:asciiTheme="minorEastAsia" w:hAnsiTheme="minorEastAsia" w:eastAsiaTheme="minorEastAsia" w:cstheme="minorEastAsia"/>
          <w:b/>
          <w:bCs/>
          <w:highlight w:val="none"/>
          <w:lang w:val="en-US" w:eastAsia="zh-CN"/>
        </w:rPr>
        <w:t>利用AI评估替代人工评估，减轻临床评估工作量</w:t>
      </w:r>
    </w:p>
    <w:p>
      <w:pPr>
        <w:ind w:firstLine="482" w:firstLineChars="200"/>
        <w:rPr>
          <w:rFonts w:hint="default" w:asciiTheme="minorEastAsia" w:hAnsiTheme="minorEastAsia" w:eastAsiaTheme="minorEastAsia" w:cstheme="minor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highlight w:val="none"/>
          <w:lang w:val="en-US" w:eastAsia="zh-CN"/>
        </w:rPr>
        <w:t>AI评估：</w:t>
      </w:r>
      <w:r>
        <w:rPr>
          <w:rFonts w:hint="eastAsia" w:asciiTheme="minorEastAsia" w:hAnsiTheme="minorEastAsia" w:eastAsiaTheme="minorEastAsia" w:cstheme="minorEastAsia"/>
          <w:b w:val="0"/>
          <w:bCs w:val="0"/>
          <w:highlight w:val="none"/>
          <w:lang w:val="en-US" w:eastAsia="zh-CN"/>
        </w:rPr>
        <w:t>支持</w:t>
      </w:r>
      <w:r>
        <w:rPr>
          <w:rFonts w:hint="eastAsia" w:asciiTheme="minorEastAsia" w:hAnsiTheme="minorEastAsia" w:eastAsiaTheme="minorEastAsia" w:cstheme="minorEastAsia"/>
          <w:highlight w:val="none"/>
        </w:rPr>
        <w:t>自动抽提入院患者VTE风险因素,自动完成患者风险评估，并推送评估结果及危险因素病历原文位置。</w:t>
      </w:r>
    </w:p>
    <w:p>
      <w:pPr>
        <w:ind w:firstLine="482" w:firstLineChars="200"/>
        <w:rPr>
          <w:rFonts w:hint="default" w:asciiTheme="minorEastAsia" w:hAnsiTheme="minorEastAsia" w:eastAsiaTheme="minorEastAsia" w:cstheme="minor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动态化：</w:t>
      </w: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支持</w:t>
      </w: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在入院、术后、转科、出院等不同节点24小时内根据病历内容变化，主动提示医生进行动态评估监测，实现了院内VTE防治的动态、全程化。</w:t>
      </w:r>
      <w:r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支持在门诊场景下，对重点人群进行VTE风险评估</w:t>
      </w: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numPr>
          <w:ilvl w:val="0"/>
          <w:numId w:val="1"/>
        </w:numPr>
        <w:ind w:firstLine="482" w:firstLineChars="200"/>
        <w:rPr>
          <w:rFonts w:hint="eastAsia" w:asciiTheme="minorEastAsia" w:hAnsiTheme="minorEastAsia" w:eastAsiaTheme="minorEastAsia" w:cstheme="minorEastAsia"/>
          <w:b/>
          <w:bCs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highlight w:val="none"/>
          <w:lang w:val="en-US" w:eastAsia="zh-CN"/>
        </w:rPr>
        <w:t>筛查阶段：对于评估中高风险危患者进行规范筛查预警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highlight w:val="none"/>
          <w:lang w:val="en-US" w:eastAsia="zh-CN"/>
        </w:rPr>
        <w:t>评估只是初步的筛查手段，要落实患者真正的VTE风险以及VTE发展需要通过对应的检验检查确定。支持根据VTE不同的评估结果，以指南为依据对医生是否开展对应的检验检查进行监控，若没有规范执行则进行预警，医生规范执行后提醒自动消失。</w:t>
      </w:r>
    </w:p>
    <w:p>
      <w:pPr>
        <w:numPr>
          <w:ilvl w:val="0"/>
          <w:numId w:val="1"/>
        </w:numPr>
        <w:ind w:firstLine="482" w:firstLineChars="200"/>
        <w:rPr>
          <w:rFonts w:hint="eastAsia" w:asciiTheme="minorEastAsia" w:hAnsiTheme="minorEastAsia" w:eastAsiaTheme="minorEastAsia" w:cstheme="minorEastAsia"/>
          <w:b/>
          <w:bCs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highlight w:val="none"/>
          <w:lang w:val="en-US" w:eastAsia="zh-CN"/>
        </w:rPr>
        <w:t>防治阶段：通过VTE诊疗路径提升正确防治率，提升临床防治效率</w:t>
      </w:r>
    </w:p>
    <w:p>
      <w:pPr>
        <w:bidi w:val="0"/>
        <w:ind w:firstLine="480" w:firstLineChars="200"/>
        <w:rPr>
          <w:rFonts w:hint="eastAsia" w:asciiTheme="minorEastAsia" w:hAnsiTheme="minorEastAsia" w:eastAsiaTheme="minorEastAsia" w:cstheme="minorEastAsia"/>
          <w:highlight w:val="yellow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highlight w:val="none"/>
          <w:lang w:val="en-US" w:eastAsia="zh-CN"/>
        </w:rPr>
        <w:t>为了促进院内VTE防治标准化同质化的建设，针对不同VTE风险的患者，支持在临床端提醒医生根据患者VTE风险评估结果及出血风险评估结果等推送标准医嘱目录执行路径，促进医院VTE防治的规范率，并同时打通医嘱系统，支持诊疗路径直接开单，提升诊疗效率。</w:t>
      </w:r>
    </w:p>
    <w:p>
      <w:pPr>
        <w:numPr>
          <w:ilvl w:val="0"/>
          <w:numId w:val="1"/>
        </w:numPr>
        <w:ind w:firstLine="482" w:firstLineChars="200"/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  <w:t>事后分析：多维度、全方位监控VTE防治情况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支持</w:t>
      </w:r>
      <w:r>
        <w:rPr>
          <w:rFonts w:hint="eastAsia" w:asciiTheme="minorEastAsia" w:hAnsiTheme="minorEastAsia" w:eastAsiaTheme="minorEastAsia" w:cstheme="minorEastAsia"/>
        </w:rPr>
        <w:t>事后大数据统计分析平台</w:t>
      </w:r>
      <w:r>
        <w:rPr>
          <w:rFonts w:hint="eastAsia" w:asciiTheme="minorEastAsia" w:hAnsiTheme="minorEastAsia" w:eastAsiaTheme="minorEastAsia" w:cstheme="minorEastAsia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</w:rPr>
        <w:t>返回临床VTE防治的执行情况，院领导、科主任、医务处等可按照不同维度（科室/医生/病人）查看VTE防治的过程指标和终末指标，包括是否进行防治，院内VTE相应事件发生率等。</w:t>
      </w:r>
    </w:p>
    <w:p>
      <w:pPr>
        <w:numPr>
          <w:ilvl w:val="0"/>
          <w:numId w:val="1"/>
        </w:numPr>
        <w:ind w:firstLine="482" w:firstLineChars="200"/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  <w:t>VTE病例上报：实现VTE不良事件和VTE病例数据自动填报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支持自动识别诊断为VTE的患者，提醒VTE不良事件上报，并支持上报数据自动填报；支持针对VTE中高危患者、诊断VTE患者，提醒填报静脉血栓栓塞症病例报告表，并支持数据自动填报。满足VTE相关数据上报要求。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lang w:val="en-US" w:eastAsia="zh-CN"/>
        </w:rPr>
        <w:t>病历病案质控</w:t>
      </w:r>
    </w:p>
    <w:p>
      <w:pPr>
        <w:pStyle w:val="11"/>
        <w:numPr>
          <w:ilvl w:val="0"/>
          <w:numId w:val="0"/>
        </w:numPr>
        <w:spacing w:line="312" w:lineRule="auto"/>
        <w:ind w:left="482" w:leftChars="0"/>
        <w:rPr>
          <w:rFonts w:asciiTheme="minorEastAsia" w:hAnsiTheme="minorEastAsia"/>
        </w:rPr>
      </w:pPr>
      <w:r>
        <w:rPr>
          <w:rFonts w:hint="eastAsia" w:asciiTheme="minorEastAsia" w:hAnsiTheme="minorEastAsia"/>
          <w:lang w:eastAsia="zh-CN"/>
        </w:rPr>
        <w:t>（</w:t>
      </w:r>
      <w:r>
        <w:rPr>
          <w:rFonts w:hint="eastAsia" w:asciiTheme="minorEastAsia" w:hAnsiTheme="minorEastAsia"/>
          <w:lang w:val="en-US" w:eastAsia="zh-CN"/>
        </w:rPr>
        <w:t>1</w:t>
      </w:r>
      <w:r>
        <w:rPr>
          <w:rFonts w:hint="eastAsia" w:asciiTheme="minorEastAsia" w:hAnsiTheme="minorEastAsia"/>
          <w:lang w:eastAsia="zh-CN"/>
        </w:rPr>
        <w:t>）</w:t>
      </w:r>
      <w:r>
        <w:rPr>
          <w:rFonts w:hint="eastAsia" w:asciiTheme="minorEastAsia" w:hAnsiTheme="minorEastAsia"/>
        </w:rPr>
        <w:t>采用A</w:t>
      </w:r>
      <w:r>
        <w:rPr>
          <w:rFonts w:asciiTheme="minorEastAsia" w:hAnsiTheme="minorEastAsia"/>
        </w:rPr>
        <w:t>I</w:t>
      </w:r>
      <w:r>
        <w:rPr>
          <w:rFonts w:hint="eastAsia" w:asciiTheme="minorEastAsia" w:hAnsiTheme="minorEastAsia"/>
        </w:rPr>
        <w:t>智能解析病历内容，对书写形式、术语编码、病历内容缺陷等进行事中监测和实时干预，提升医院终末病历质量。</w:t>
      </w:r>
    </w:p>
    <w:p>
      <w:pPr>
        <w:pStyle w:val="11"/>
        <w:numPr>
          <w:ilvl w:val="0"/>
          <w:numId w:val="0"/>
        </w:numPr>
        <w:spacing w:line="312" w:lineRule="auto"/>
        <w:ind w:left="482" w:leftChars="0"/>
        <w:rPr>
          <w:rFonts w:asciiTheme="minorEastAsia" w:hAnsiTheme="minorEastAsia"/>
        </w:rPr>
      </w:pPr>
      <w:r>
        <w:rPr>
          <w:rFonts w:hint="eastAsia" w:asciiTheme="minorEastAsia" w:hAnsiTheme="minorEastAsia"/>
          <w:lang w:eastAsia="zh-CN"/>
        </w:rPr>
        <w:t>（</w:t>
      </w:r>
      <w:r>
        <w:rPr>
          <w:rFonts w:hint="eastAsia" w:asciiTheme="minorEastAsia" w:hAnsiTheme="minorEastAsia"/>
          <w:lang w:val="en-US" w:eastAsia="zh-CN"/>
        </w:rPr>
        <w:t>2</w:t>
      </w:r>
      <w:r>
        <w:rPr>
          <w:rFonts w:hint="eastAsia" w:asciiTheme="minorEastAsia" w:hAnsiTheme="minorEastAsia"/>
          <w:lang w:eastAsia="zh-CN"/>
        </w:rPr>
        <w:t>）</w:t>
      </w:r>
      <w:r>
        <w:rPr>
          <w:rFonts w:hint="eastAsia" w:asciiTheme="minorEastAsia" w:hAnsiTheme="minorEastAsia"/>
        </w:rPr>
        <w:t>基于文书、医嘱、检查</w:t>
      </w:r>
      <w:r>
        <w:rPr>
          <w:rFonts w:asciiTheme="minorEastAsia" w:hAnsiTheme="minorEastAsia"/>
        </w:rPr>
        <w:t>/</w:t>
      </w:r>
      <w:r>
        <w:rPr>
          <w:rFonts w:hint="eastAsia" w:asciiTheme="minorEastAsia" w:hAnsiTheme="minorEastAsia"/>
        </w:rPr>
        <w:t>检验、首页等信息，实现病历及病案首页内涵质控的全覆盖。</w:t>
      </w:r>
    </w:p>
    <w:p>
      <w:pPr>
        <w:pStyle w:val="11"/>
        <w:numPr>
          <w:ilvl w:val="0"/>
          <w:numId w:val="0"/>
        </w:numPr>
        <w:spacing w:line="312" w:lineRule="auto"/>
        <w:ind w:left="482" w:leftChars="0"/>
        <w:rPr>
          <w:rFonts w:asciiTheme="minorEastAsia" w:hAnsiTheme="minorEastAsia"/>
        </w:rPr>
      </w:pPr>
      <w:r>
        <w:rPr>
          <w:rFonts w:hint="eastAsia" w:asciiTheme="minorEastAsia" w:hAnsiTheme="minorEastAsia"/>
          <w:lang w:eastAsia="zh-CN"/>
        </w:rPr>
        <w:t>（</w:t>
      </w:r>
      <w:r>
        <w:rPr>
          <w:rFonts w:hint="eastAsia" w:asciiTheme="minorEastAsia" w:hAnsiTheme="minorEastAsia"/>
          <w:lang w:val="en-US" w:eastAsia="zh-CN"/>
        </w:rPr>
        <w:t>3</w:t>
      </w:r>
      <w:r>
        <w:rPr>
          <w:rFonts w:hint="eastAsia" w:asciiTheme="minorEastAsia" w:hAnsiTheme="minorEastAsia"/>
          <w:lang w:eastAsia="zh-CN"/>
        </w:rPr>
        <w:t>）</w:t>
      </w:r>
      <w:r>
        <w:rPr>
          <w:rFonts w:hint="eastAsia" w:asciiTheme="minorEastAsia" w:hAnsiTheme="minorEastAsia"/>
        </w:rPr>
        <w:t>通过病案管理端与医生端的交互功能，大幅提高病历错误修正的工作效率。</w:t>
      </w:r>
    </w:p>
    <w:p>
      <w:pPr>
        <w:pStyle w:val="11"/>
        <w:numPr>
          <w:ilvl w:val="0"/>
          <w:numId w:val="0"/>
        </w:numPr>
        <w:spacing w:line="312" w:lineRule="auto"/>
        <w:ind w:left="482" w:leftChars="0"/>
        <w:rPr>
          <w:rFonts w:asciiTheme="minorEastAsia" w:hAnsiTheme="minorEastAsia"/>
        </w:rPr>
      </w:pPr>
      <w:r>
        <w:rPr>
          <w:rFonts w:hint="eastAsia" w:asciiTheme="minorEastAsia" w:hAnsiTheme="minorEastAsia"/>
          <w:lang w:eastAsia="zh-CN"/>
        </w:rPr>
        <w:t>（</w:t>
      </w:r>
      <w:r>
        <w:rPr>
          <w:rFonts w:hint="eastAsia" w:asciiTheme="minorEastAsia" w:hAnsiTheme="minorEastAsia"/>
          <w:lang w:val="en-US" w:eastAsia="zh-CN"/>
        </w:rPr>
        <w:t>4</w:t>
      </w:r>
      <w:r>
        <w:rPr>
          <w:rFonts w:hint="eastAsia" w:asciiTheme="minorEastAsia" w:hAnsiTheme="minorEastAsia"/>
          <w:lang w:eastAsia="zh-CN"/>
        </w:rPr>
        <w:t>）</w:t>
      </w:r>
      <w:r>
        <w:rPr>
          <w:rFonts w:hint="eastAsia" w:asciiTheme="minorEastAsia" w:hAnsiTheme="minorEastAsia"/>
        </w:rPr>
        <w:t>通过回顾性数据的统计与分析，实时监测临床诊疗情况以及病历书写规范情况，为医疗质量、病案质量改进及绩效考核提供数据支撑。</w:t>
      </w:r>
    </w:p>
    <w:p>
      <w:pPr>
        <w:pStyle w:val="11"/>
        <w:numPr>
          <w:ilvl w:val="0"/>
          <w:numId w:val="0"/>
        </w:numPr>
        <w:spacing w:line="312" w:lineRule="auto"/>
        <w:ind w:left="482" w:leftChars="0"/>
        <w:rPr>
          <w:rFonts w:asciiTheme="minorEastAsia" w:hAnsiTheme="minorEastAsia"/>
        </w:rPr>
      </w:pPr>
      <w:r>
        <w:rPr>
          <w:rFonts w:hint="eastAsia" w:asciiTheme="minorEastAsia" w:hAnsiTheme="minorEastAsia"/>
          <w:lang w:eastAsia="zh-CN"/>
        </w:rPr>
        <w:t>（</w:t>
      </w:r>
      <w:r>
        <w:rPr>
          <w:rFonts w:hint="eastAsia" w:asciiTheme="minorEastAsia" w:hAnsiTheme="minorEastAsia"/>
          <w:lang w:val="en-US" w:eastAsia="zh-CN"/>
        </w:rPr>
        <w:t>5</w:t>
      </w:r>
      <w:r>
        <w:rPr>
          <w:rFonts w:hint="eastAsia" w:asciiTheme="minorEastAsia" w:hAnsiTheme="minorEastAsia"/>
          <w:lang w:eastAsia="zh-CN"/>
        </w:rPr>
        <w:t>）</w:t>
      </w:r>
      <w:r>
        <w:rPr>
          <w:rFonts w:hint="eastAsia" w:asciiTheme="minorEastAsia" w:hAnsiTheme="minorEastAsia"/>
        </w:rPr>
        <w:t>提高院内病案质量，为后期医院患者DRG入组率的提升提供保障。</w:t>
      </w:r>
    </w:p>
    <w:p>
      <w:pPr>
        <w:numPr>
          <w:ilvl w:val="0"/>
          <w:numId w:val="0"/>
        </w:numPr>
        <w:rPr>
          <w:rFonts w:hint="default" w:asciiTheme="minorEastAsia" w:hAnsiTheme="minorEastAsia" w:eastAsiaTheme="minorEastAsia" w:cstheme="minorEastAsia"/>
          <w:b/>
          <w:bCs/>
          <w:lang w:val="en-US" w:eastAsia="zh-CN"/>
        </w:rPr>
      </w:pPr>
    </w:p>
    <w:p>
      <w:pPr>
        <w:pStyle w:val="2"/>
        <w:bidi w:val="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二</w:t>
      </w:r>
      <w:r>
        <w:rPr>
          <w:rFonts w:hint="eastAsia" w:ascii="宋体" w:hAnsi="宋体" w:eastAsia="宋体" w:cs="宋体"/>
          <w:sz w:val="32"/>
          <w:szCs w:val="32"/>
        </w:rPr>
        <w:t>、建设内容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1、</w:t>
      </w:r>
      <w:r>
        <w:rPr>
          <w:rFonts w:hint="eastAsia" w:ascii="宋体" w:hAnsi="宋体" w:eastAsia="宋体" w:cs="宋体"/>
        </w:rPr>
        <w:t>VTE智能防治系统的建设包括如下部分内容：</w:t>
      </w:r>
    </w:p>
    <w:tbl>
      <w:tblPr>
        <w:tblStyle w:val="9"/>
        <w:tblW w:w="485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8"/>
        <w:gridCol w:w="3066"/>
        <w:gridCol w:w="3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分系统名称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系统功能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数据治理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数据质量管理</w:t>
            </w:r>
          </w:p>
        </w:tc>
        <w:tc>
          <w:tcPr>
            <w:tcW w:w="3843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对院内业务数据质量校验治理</w:t>
            </w:r>
          </w:p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自然语言处理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VTE风险和出血风险自动化计算评估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Caprini/Padua初始评估</w:t>
            </w:r>
          </w:p>
        </w:tc>
        <w:tc>
          <w:tcPr>
            <w:tcW w:w="3843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基于VTE内外科风险评估引擎，进行风险评估、预防措施推荐、预防禁忌、血栓风险筛查。</w:t>
            </w:r>
          </w:p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VTE动态评估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出血风险评估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Wells评分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PTE筛查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VTE动态评估结果记录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VTE预防措施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漏诊提醒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会诊提醒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禁忌提示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防治小结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护理端提醒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打印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restart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妊娠期及产褥期VTE风险管理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初始风险评估</w:t>
            </w:r>
          </w:p>
        </w:tc>
        <w:tc>
          <w:tcPr>
            <w:tcW w:w="3843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基于妊娠期及产褥期VTE风险评估引擎，进行风险评估、风险监测以及预防推荐。</w:t>
            </w:r>
          </w:p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动态评估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出血风险评估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VTE预防措施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在院监测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指标统计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恰当评估及预防情况监测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restart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妇科肿瘤VTE风险管理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初始风险评估</w:t>
            </w:r>
          </w:p>
        </w:tc>
        <w:tc>
          <w:tcPr>
            <w:tcW w:w="3843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基于妇科肿瘤VTE风险评估引擎，进行风险评估、风险监测以及预防推荐。</w:t>
            </w:r>
          </w:p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动态评估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出血风险评估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VTE预防措施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在院监测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指标统计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恰当评估及预防情况监测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restart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肿瘤VTE风险管理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初始风险评估</w:t>
            </w:r>
          </w:p>
        </w:tc>
        <w:tc>
          <w:tcPr>
            <w:tcW w:w="3843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基于肿瘤VTE风险评估引擎，进行风险评估、风险监测以及预防推荐。</w:t>
            </w:r>
          </w:p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动态评估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出血风险评估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VTE预防措施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DVT患者推荐检查治疗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在院监测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指标统计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恰当评估及预防情况监测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restart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门诊VTE风险管理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门诊妊娠VTE风险评估</w:t>
            </w:r>
          </w:p>
        </w:tc>
        <w:tc>
          <w:tcPr>
            <w:tcW w:w="3843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针对门诊妊娠、肿瘤患者进行VTE风险防治</w:t>
            </w:r>
          </w:p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门诊肿瘤VTE风险评估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诊疗路径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诊疗路径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以诊疗路径的方式推送相关防治措施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VTE质控平台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科室质量管理平台</w:t>
            </w:r>
          </w:p>
        </w:tc>
        <w:tc>
          <w:tcPr>
            <w:tcW w:w="3843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VTE风险防治质量评价</w:t>
            </w:r>
          </w:p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在院监测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指标统计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随访清单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VTE过程质量配置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医嘱监控（三级卡控）</w:t>
            </w:r>
          </w:p>
        </w:tc>
        <w:tc>
          <w:tcPr>
            <w:tcW w:w="3843" w:type="dxa"/>
            <w:vMerge w:val="restart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VTE事中提醒配置</w:t>
            </w:r>
          </w:p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Merge w:val="continue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实时可视化数据大屏监控</w:t>
            </w:r>
          </w:p>
        </w:tc>
        <w:tc>
          <w:tcPr>
            <w:tcW w:w="3843" w:type="dxa"/>
            <w:vMerge w:val="continue"/>
            <w:vAlign w:val="center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69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不良事件上报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VTE不良事件上报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不良事件上报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269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静脉血栓栓塞症病例报告表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静脉血栓栓塞症病例报告表</w:t>
            </w:r>
          </w:p>
        </w:tc>
        <w:tc>
          <w:tcPr>
            <w:tcW w:w="3843" w:type="dxa"/>
            <w:vAlign w:val="center"/>
          </w:tcPr>
          <w:p>
            <w:pP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静脉血栓栓塞症病例报告</w:t>
            </w:r>
          </w:p>
        </w:tc>
      </w:tr>
    </w:tbl>
    <w:p>
      <w:pPr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  <w:lang w:val="en-US" w:eastAsia="zh-CN"/>
        </w:rPr>
        <w:t>2、</w:t>
      </w:r>
      <w:r>
        <w:rPr>
          <w:rFonts w:hint="eastAsia" w:asciiTheme="minorEastAsia" w:hAnsiTheme="minorEastAsia" w:eastAsiaTheme="minorEastAsia"/>
        </w:rPr>
        <w:t>病历及病案首页质控系统的建设包括如下部分内容：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455"/>
        <w:gridCol w:w="1126"/>
        <w:gridCol w:w="67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4" w:hRule="atLeast"/>
        </w:trPr>
        <w:tc>
          <w:tcPr>
            <w:tcW w:w="572" w:type="dxa"/>
            <w:shd w:val="clear" w:color="auto" w:fill="B3B3B3"/>
            <w:vAlign w:val="center"/>
          </w:tcPr>
          <w:p>
            <w:pPr>
              <w:autoSpaceDE w:val="0"/>
              <w:autoSpaceDN w:val="0"/>
              <w:spacing w:line="312" w:lineRule="auto"/>
              <w:jc w:val="center"/>
              <w:rPr>
                <w:rFonts w:cs="楷体" w:asciiTheme="minorEastAsia" w:hAnsiTheme="minorEastAsia" w:eastAsiaTheme="minorEastAsia"/>
                <w:b/>
                <w:sz w:val="21"/>
                <w:szCs w:val="21"/>
              </w:rPr>
            </w:pPr>
            <w:r>
              <w:rPr>
                <w:rFonts w:hint="eastAsia" w:cs="楷体" w:asciiTheme="minorEastAsia" w:hAnsiTheme="minorEastAsia" w:eastAsiaTheme="minorEastAsia"/>
                <w:b/>
                <w:sz w:val="21"/>
                <w:szCs w:val="21"/>
              </w:rPr>
              <w:t>序号</w:t>
            </w:r>
          </w:p>
        </w:tc>
        <w:tc>
          <w:tcPr>
            <w:tcW w:w="1417" w:type="dxa"/>
            <w:shd w:val="clear" w:color="auto" w:fill="B3B3B3"/>
            <w:vAlign w:val="center"/>
          </w:tcPr>
          <w:p>
            <w:pPr>
              <w:autoSpaceDE w:val="0"/>
              <w:autoSpaceDN w:val="0"/>
              <w:spacing w:line="312" w:lineRule="auto"/>
              <w:jc w:val="center"/>
              <w:rPr>
                <w:rFonts w:cs="楷体" w:asciiTheme="minorEastAsia" w:hAnsiTheme="minorEastAsia" w:eastAsiaTheme="minorEastAsia"/>
                <w:b/>
                <w:sz w:val="21"/>
                <w:szCs w:val="21"/>
              </w:rPr>
            </w:pPr>
            <w:r>
              <w:rPr>
                <w:rFonts w:hint="eastAsia" w:cs="楷体" w:asciiTheme="minorEastAsia" w:hAnsiTheme="minorEastAsia" w:eastAsiaTheme="minorEastAsia"/>
                <w:b/>
                <w:sz w:val="21"/>
                <w:szCs w:val="21"/>
              </w:rPr>
              <w:t>模块</w:t>
            </w:r>
          </w:p>
        </w:tc>
        <w:tc>
          <w:tcPr>
            <w:tcW w:w="8537" w:type="dxa"/>
            <w:shd w:val="clear" w:color="auto" w:fill="B3B3B3"/>
            <w:vAlign w:val="center"/>
          </w:tcPr>
          <w:p>
            <w:pPr>
              <w:autoSpaceDE w:val="0"/>
              <w:autoSpaceDN w:val="0"/>
              <w:spacing w:line="312" w:lineRule="auto"/>
              <w:jc w:val="center"/>
              <w:rPr>
                <w:rFonts w:cs="楷体" w:asciiTheme="minorEastAsia" w:hAnsiTheme="minorEastAsia" w:eastAsiaTheme="minorEastAsia"/>
                <w:b/>
                <w:sz w:val="21"/>
                <w:szCs w:val="21"/>
              </w:rPr>
            </w:pPr>
            <w:r>
              <w:rPr>
                <w:rFonts w:hint="eastAsia" w:cs="楷体" w:asciiTheme="minorEastAsia" w:hAnsiTheme="minorEastAsia" w:eastAsiaTheme="minorEastAsia"/>
                <w:b/>
                <w:sz w:val="21"/>
                <w:szCs w:val="21"/>
              </w:rPr>
              <w:t>建设内容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4" w:hRule="atLeast"/>
        </w:trPr>
        <w:tc>
          <w:tcPr>
            <w:tcW w:w="572" w:type="dxa"/>
            <w:vAlign w:val="center"/>
          </w:tcPr>
          <w:p>
            <w:pPr>
              <w:spacing w:line="312" w:lineRule="auto"/>
              <w:jc w:val="center"/>
              <w:rPr>
                <w:rFonts w:cs="楷体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楷体" w:asciiTheme="minorEastAsia" w:hAnsiTheme="minorEastAsia" w:eastAsiaTheme="minorEastAsia"/>
                <w:sz w:val="21"/>
                <w:szCs w:val="21"/>
              </w:rPr>
              <w:t>1</w:t>
            </w:r>
          </w:p>
        </w:tc>
        <w:tc>
          <w:tcPr>
            <w:tcW w:w="141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医生端质控</w:t>
            </w:r>
          </w:p>
        </w:tc>
        <w:tc>
          <w:tcPr>
            <w:tcW w:w="853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系统自动对书写形式、病历文书、病案首页内容缺陷等进行核查，并提醒医生对病历缺陷及时完善、修订。包括实时提醒、单项否决提醒、形式及内涵质控、评分表得分及扣分查看、人工评价单查收和确认、待反馈病历及问题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4" w:hRule="atLeast"/>
        </w:trPr>
        <w:tc>
          <w:tcPr>
            <w:tcW w:w="572" w:type="dxa"/>
            <w:vAlign w:val="center"/>
          </w:tcPr>
          <w:p>
            <w:pPr>
              <w:spacing w:line="312" w:lineRule="auto"/>
              <w:jc w:val="center"/>
              <w:rPr>
                <w:rFonts w:cs="楷体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楷体" w:asciiTheme="minorEastAsia" w:hAnsiTheme="minorEastAsia" w:eastAsiaTheme="minorEastAsia"/>
                <w:sz w:val="21"/>
                <w:szCs w:val="21"/>
              </w:rPr>
              <w:t>2</w:t>
            </w:r>
          </w:p>
        </w:tc>
        <w:tc>
          <w:tcPr>
            <w:tcW w:w="141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运行+终末病历审核</w:t>
            </w:r>
          </w:p>
        </w:tc>
        <w:tc>
          <w:tcPr>
            <w:tcW w:w="853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可查看运行/归档病历及病案首页的各质控项得分情况，支持按质控缺陷问题、评分表等多维度展示，并支持在线对病历进行审核（通过/编辑）。包括病历/病案查询、病历评价任务管理（任务分配）、病历评价、人工审核、病历快捷浏览、缺陷自动定位、审核意见反馈交互、人工评价单下发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4" w:hRule="atLeast"/>
        </w:trPr>
        <w:tc>
          <w:tcPr>
            <w:tcW w:w="572" w:type="dxa"/>
            <w:vAlign w:val="center"/>
          </w:tcPr>
          <w:p>
            <w:pPr>
              <w:spacing w:line="312" w:lineRule="auto"/>
              <w:jc w:val="center"/>
              <w:rPr>
                <w:rFonts w:cs="楷体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楷体" w:asciiTheme="minorEastAsia" w:hAnsiTheme="minorEastAsia" w:eastAsiaTheme="minorEastAsia"/>
                <w:sz w:val="21"/>
                <w:szCs w:val="21"/>
              </w:rPr>
              <w:t>3</w:t>
            </w:r>
          </w:p>
        </w:tc>
        <w:tc>
          <w:tcPr>
            <w:tcW w:w="141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形式质控点</w:t>
            </w:r>
          </w:p>
        </w:tc>
        <w:tc>
          <w:tcPr>
            <w:tcW w:w="853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提供病历文书、病案首页的形式质控点，质控内容包括病历记录的完整性、一致性、时效性。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4" w:hRule="atLeast"/>
        </w:trPr>
        <w:tc>
          <w:tcPr>
            <w:tcW w:w="572" w:type="dxa"/>
            <w:vAlign w:val="center"/>
          </w:tcPr>
          <w:p>
            <w:pPr>
              <w:spacing w:line="312" w:lineRule="auto"/>
              <w:jc w:val="center"/>
              <w:rPr>
                <w:rFonts w:cs="楷体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楷体" w:asciiTheme="minorEastAsia" w:hAnsiTheme="minorEastAsia" w:eastAsiaTheme="minorEastAsia"/>
                <w:sz w:val="21"/>
                <w:szCs w:val="21"/>
              </w:rPr>
              <w:t>4</w:t>
            </w:r>
          </w:p>
        </w:tc>
        <w:tc>
          <w:tcPr>
            <w:tcW w:w="141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内涵质控点</w:t>
            </w:r>
          </w:p>
        </w:tc>
        <w:tc>
          <w:tcPr>
            <w:tcW w:w="853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提供病历文书、病案首页的内涵质控点，内涵质控内容包括病历记录的完整性、一致性、合理性、雷同性，以及首页的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</w:rPr>
              <w:t>主诊断选择合理性、其他诊断遗漏、其他诊断错误、手术操作错误、手术操作遗漏等</w:t>
            </w:r>
            <w:r>
              <w:rPr>
                <w:rFonts w:hint="eastAsia" w:ascii="宋体" w:hAnsi="宋体" w:eastAsia="宋体" w:cs="楷体"/>
                <w:sz w:val="21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4" w:hRule="atLeast"/>
        </w:trPr>
        <w:tc>
          <w:tcPr>
            <w:tcW w:w="572" w:type="dxa"/>
            <w:vAlign w:val="center"/>
          </w:tcPr>
          <w:p>
            <w:pPr>
              <w:spacing w:line="312" w:lineRule="auto"/>
              <w:jc w:val="center"/>
              <w:rPr>
                <w:rFonts w:cs="楷体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楷体" w:asciiTheme="minorEastAsia" w:hAnsiTheme="minorEastAsia" w:eastAsiaTheme="minorEastAsia"/>
                <w:sz w:val="21"/>
                <w:szCs w:val="21"/>
              </w:rPr>
              <w:t>5</w:t>
            </w:r>
          </w:p>
        </w:tc>
        <w:tc>
          <w:tcPr>
            <w:tcW w:w="141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编码质控点</w:t>
            </w:r>
          </w:p>
        </w:tc>
        <w:tc>
          <w:tcPr>
            <w:tcW w:w="853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提供病案首页的编码相关质控点，包括主要诊断选择、合并编码、编码冲突等诊断编码质控，以及手术省略编码多编、手术编码冲突以及合并编码等手术编码质控点。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4" w:hRule="atLeast"/>
        </w:trPr>
        <w:tc>
          <w:tcPr>
            <w:tcW w:w="572" w:type="dxa"/>
            <w:vAlign w:val="center"/>
          </w:tcPr>
          <w:p>
            <w:pPr>
              <w:spacing w:line="312" w:lineRule="auto"/>
              <w:jc w:val="center"/>
              <w:rPr>
                <w:rFonts w:cs="楷体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楷体" w:asciiTheme="minorEastAsia" w:hAnsiTheme="minorEastAsia" w:eastAsiaTheme="minorEastAsia"/>
                <w:sz w:val="21"/>
                <w:szCs w:val="21"/>
              </w:rPr>
              <w:t>6</w:t>
            </w:r>
          </w:p>
        </w:tc>
        <w:tc>
          <w:tcPr>
            <w:tcW w:w="141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质控点管理</w:t>
            </w:r>
          </w:p>
        </w:tc>
        <w:tc>
          <w:tcPr>
            <w:tcW w:w="853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可在线查看每条质控点逻辑，并根据医院实际质控情况对质控点状态进行自定义配置，支持对该条质控点进行关闭/开启、权限、等级等配置。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4" w:hRule="atLeast"/>
        </w:trPr>
        <w:tc>
          <w:tcPr>
            <w:tcW w:w="572" w:type="dxa"/>
            <w:vAlign w:val="center"/>
          </w:tcPr>
          <w:p>
            <w:pPr>
              <w:spacing w:line="312" w:lineRule="auto"/>
              <w:jc w:val="center"/>
              <w:rPr>
                <w:rFonts w:cs="楷体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楷体" w:asciiTheme="minorEastAsia" w:hAnsiTheme="minorEastAsia" w:eastAsiaTheme="minorEastAsia"/>
                <w:sz w:val="21"/>
                <w:szCs w:val="21"/>
              </w:rPr>
              <w:t>7</w:t>
            </w:r>
          </w:p>
        </w:tc>
        <w:tc>
          <w:tcPr>
            <w:tcW w:w="141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工作台</w:t>
            </w:r>
          </w:p>
        </w:tc>
        <w:tc>
          <w:tcPr>
            <w:tcW w:w="853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集成展示我的工作信息及关注数据，包括我的贡献、我创建的评价任务、待我执行的任务、我关注的运行病历质控、我关注的终末病历质控。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4" w:hRule="atLeast"/>
        </w:trPr>
        <w:tc>
          <w:tcPr>
            <w:tcW w:w="572" w:type="dxa"/>
            <w:vAlign w:val="center"/>
          </w:tcPr>
          <w:p>
            <w:pPr>
              <w:spacing w:line="312" w:lineRule="auto"/>
              <w:jc w:val="center"/>
              <w:rPr>
                <w:rFonts w:cs="楷体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楷体" w:asciiTheme="minorEastAsia" w:hAnsiTheme="minorEastAsia" w:eastAsiaTheme="minorEastAsia"/>
                <w:sz w:val="21"/>
                <w:szCs w:val="21"/>
              </w:rPr>
              <w:t>8</w:t>
            </w:r>
          </w:p>
        </w:tc>
        <w:tc>
          <w:tcPr>
            <w:tcW w:w="141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在院监测</w:t>
            </w:r>
          </w:p>
        </w:tc>
        <w:tc>
          <w:tcPr>
            <w:tcW w:w="853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支持对全院在院病例的病历及首页质控情况进行实时监测、分析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4" w:hRule="atLeast"/>
        </w:trPr>
        <w:tc>
          <w:tcPr>
            <w:tcW w:w="572" w:type="dxa"/>
            <w:vAlign w:val="center"/>
          </w:tcPr>
          <w:p>
            <w:pPr>
              <w:spacing w:line="312" w:lineRule="auto"/>
              <w:jc w:val="center"/>
              <w:rPr>
                <w:rFonts w:cs="楷体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楷体" w:asciiTheme="minorEastAsia" w:hAnsiTheme="minorEastAsia" w:eastAsiaTheme="minorEastAsia"/>
                <w:sz w:val="21"/>
                <w:szCs w:val="21"/>
              </w:rPr>
              <w:t>9</w:t>
            </w:r>
          </w:p>
        </w:tc>
        <w:tc>
          <w:tcPr>
            <w:tcW w:w="141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统计与分析平台</w:t>
            </w:r>
          </w:p>
        </w:tc>
        <w:tc>
          <w:tcPr>
            <w:tcW w:w="853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病历/首页得分及环比变化，质量分析、评分表分析、质控管理分析、问题分析、27项病案管理指标等进行统计分析，并以折线图、饼图、列表等直观展示。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4" w:hRule="atLeast"/>
        </w:trPr>
        <w:tc>
          <w:tcPr>
            <w:tcW w:w="572" w:type="dxa"/>
            <w:vAlign w:val="center"/>
          </w:tcPr>
          <w:p>
            <w:pPr>
              <w:spacing w:line="312" w:lineRule="auto"/>
              <w:jc w:val="center"/>
              <w:rPr>
                <w:rFonts w:cs="楷体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楷体" w:asciiTheme="minorEastAsia" w:hAnsiTheme="minorEastAsia" w:eastAsiaTheme="minorEastAsia"/>
                <w:sz w:val="21"/>
                <w:szCs w:val="21"/>
              </w:rPr>
              <w:t>1</w:t>
            </w:r>
            <w:r>
              <w:rPr>
                <w:rFonts w:cs="楷体" w:asciiTheme="minorEastAsia" w:hAnsiTheme="minorEastAsia" w:eastAsiaTheme="minorEastAsia"/>
                <w:sz w:val="21"/>
                <w:szCs w:val="21"/>
              </w:rPr>
              <w:t>0</w:t>
            </w:r>
          </w:p>
        </w:tc>
        <w:tc>
          <w:tcPr>
            <w:tcW w:w="141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配置引擎</w:t>
            </w:r>
          </w:p>
        </w:tc>
        <w:tc>
          <w:tcPr>
            <w:tcW w:w="853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支持医院自定义病历质控的新质控点，以及评分表模板、评分项、评分等自定义编辑。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84" w:hRule="atLeast"/>
        </w:trPr>
        <w:tc>
          <w:tcPr>
            <w:tcW w:w="572" w:type="dxa"/>
            <w:vAlign w:val="center"/>
          </w:tcPr>
          <w:p>
            <w:pPr>
              <w:spacing w:line="312" w:lineRule="auto"/>
              <w:jc w:val="center"/>
              <w:rPr>
                <w:rFonts w:cs="楷体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楷体" w:asciiTheme="minorEastAsia" w:hAnsiTheme="minorEastAsia" w:eastAsiaTheme="minorEastAsia"/>
                <w:sz w:val="21"/>
                <w:szCs w:val="21"/>
              </w:rPr>
              <w:t>11</w:t>
            </w:r>
          </w:p>
        </w:tc>
        <w:tc>
          <w:tcPr>
            <w:tcW w:w="141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用户管理</w:t>
            </w:r>
          </w:p>
        </w:tc>
        <w:tc>
          <w:tcPr>
            <w:tcW w:w="8537" w:type="dxa"/>
            <w:vAlign w:val="center"/>
          </w:tcPr>
          <w:p>
            <w:pPr>
              <w:spacing w:line="312" w:lineRule="auto"/>
              <w:jc w:val="left"/>
              <w:rPr>
                <w:rFonts w:ascii="宋体" w:hAnsi="宋体" w:eastAsia="宋体" w:cs="楷体"/>
                <w:sz w:val="21"/>
                <w:szCs w:val="21"/>
              </w:rPr>
            </w:pPr>
            <w:r>
              <w:rPr>
                <w:rFonts w:hint="eastAsia" w:ascii="宋体" w:hAnsi="宋体" w:eastAsia="宋体" w:cs="楷体"/>
                <w:sz w:val="21"/>
                <w:szCs w:val="21"/>
              </w:rPr>
              <w:t>增加、删除、设置各类人员账号、质控级别、功能及权限。</w:t>
            </w:r>
          </w:p>
        </w:tc>
      </w:tr>
    </w:tbl>
    <w:p/>
    <w:p>
      <w:pPr>
        <w:rPr>
          <w:rFonts w:hint="eastAsia" w:ascii="宋体" w:hAnsi="宋体" w:eastAsia="宋体" w:cs="宋体"/>
        </w:rPr>
      </w:pPr>
    </w:p>
    <w:p>
      <w:pPr>
        <w:pStyle w:val="2"/>
        <w:bidi w:val="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三</w:t>
      </w:r>
      <w:r>
        <w:rPr>
          <w:rFonts w:hint="eastAsia" w:ascii="宋体" w:hAnsi="宋体" w:eastAsia="宋体" w:cs="宋体"/>
          <w:sz w:val="32"/>
          <w:szCs w:val="32"/>
        </w:rPr>
        <w:t>、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项目</w:t>
      </w:r>
      <w:r>
        <w:rPr>
          <w:rFonts w:hint="eastAsia" w:ascii="宋体" w:hAnsi="宋体" w:eastAsia="宋体" w:cs="宋体"/>
          <w:sz w:val="32"/>
          <w:szCs w:val="32"/>
        </w:rPr>
        <w:t>技术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需求</w:t>
      </w:r>
    </w:p>
    <w:p>
      <w:pPr>
        <w:pStyle w:val="11"/>
        <w:numPr>
          <w:ilvl w:val="0"/>
          <w:numId w:val="0"/>
        </w:numPr>
        <w:spacing w:line="360" w:lineRule="auto"/>
        <w:ind w:left="482" w:left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1、</w:t>
      </w:r>
      <w:r>
        <w:rPr>
          <w:rFonts w:hint="eastAsia" w:ascii="宋体" w:hAnsi="宋体" w:eastAsia="宋体" w:cs="宋体"/>
        </w:rPr>
        <w:t>高度智能化：</w:t>
      </w:r>
    </w:p>
    <w:p>
      <w:pPr>
        <w:pStyle w:val="11"/>
        <w:numPr>
          <w:ilvl w:val="0"/>
          <w:numId w:val="3"/>
        </w:numPr>
        <w:spacing w:line="360" w:lineRule="auto"/>
        <w:ind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具有自然语言处理（NLP）、深度学习、数据后结构化处理等特性；</w:t>
      </w:r>
    </w:p>
    <w:p>
      <w:pPr>
        <w:pStyle w:val="11"/>
        <w:numPr>
          <w:ilvl w:val="0"/>
          <w:numId w:val="3"/>
        </w:numPr>
        <w:spacing w:line="360" w:lineRule="auto"/>
        <w:ind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中文医学数据处理能力（毫秒级）处于业内领先水平</w:t>
      </w:r>
      <w:r>
        <w:rPr>
          <w:rFonts w:hint="eastAsia" w:ascii="宋体" w:hAnsi="宋体" w:eastAsia="宋体" w:cs="宋体"/>
          <w:lang w:eastAsia="zh-CN"/>
        </w:rPr>
        <w:t>，</w:t>
      </w:r>
      <w:r>
        <w:rPr>
          <w:rFonts w:hint="eastAsia" w:ascii="宋体" w:hAnsi="宋体" w:eastAsia="宋体" w:cs="宋体"/>
          <w:lang w:val="en-US" w:eastAsia="zh-CN"/>
        </w:rPr>
        <w:t>不影响原业务系统运行</w:t>
      </w:r>
      <w:r>
        <w:rPr>
          <w:rFonts w:hint="eastAsia" w:ascii="宋体" w:hAnsi="宋体" w:eastAsia="宋体" w:cs="宋体"/>
        </w:rPr>
        <w:t>；</w:t>
      </w:r>
    </w:p>
    <w:p>
      <w:pPr>
        <w:pStyle w:val="11"/>
        <w:numPr>
          <w:ilvl w:val="0"/>
          <w:numId w:val="3"/>
        </w:numPr>
        <w:spacing w:line="360" w:lineRule="auto"/>
        <w:ind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非结构化文本识别准确率达95%以上。</w:t>
      </w:r>
    </w:p>
    <w:p>
      <w:pPr>
        <w:pStyle w:val="11"/>
        <w:numPr>
          <w:ilvl w:val="0"/>
          <w:numId w:val="0"/>
        </w:numPr>
        <w:spacing w:line="360" w:lineRule="auto"/>
        <w:ind w:left="482" w:left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2、需建立</w:t>
      </w:r>
      <w:r>
        <w:rPr>
          <w:rFonts w:hint="eastAsia" w:ascii="宋体" w:hAnsi="宋体" w:eastAsia="宋体" w:cs="宋体"/>
        </w:rPr>
        <w:t>从入院到出院全程的、完整的VTE</w:t>
      </w:r>
      <w:r>
        <w:rPr>
          <w:rFonts w:hint="eastAsia" w:ascii="宋体" w:hAnsi="宋体" w:eastAsia="宋体" w:cs="宋体"/>
          <w:lang w:val="en-US" w:eastAsia="zh-CN"/>
        </w:rPr>
        <w:t>自动的、智能的评估</w:t>
      </w:r>
      <w:r>
        <w:rPr>
          <w:rFonts w:hint="eastAsia" w:ascii="宋体" w:hAnsi="宋体" w:eastAsia="宋体" w:cs="宋体"/>
        </w:rPr>
        <w:t>体系；</w:t>
      </w:r>
    </w:p>
    <w:p>
      <w:pPr>
        <w:pStyle w:val="11"/>
        <w:numPr>
          <w:ilvl w:val="0"/>
          <w:numId w:val="0"/>
        </w:numPr>
        <w:spacing w:line="360" w:lineRule="auto"/>
        <w:ind w:left="482" w:left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3、需支持</w:t>
      </w:r>
      <w:r>
        <w:rPr>
          <w:rFonts w:hint="eastAsia" w:ascii="宋体" w:hAnsi="宋体" w:eastAsia="宋体" w:cs="宋体"/>
        </w:rPr>
        <w:t>人机评分对比、危险因素病历原文追溯，保障院内VTE评估的准确性；</w:t>
      </w:r>
    </w:p>
    <w:p>
      <w:pPr>
        <w:pStyle w:val="11"/>
        <w:numPr>
          <w:ilvl w:val="0"/>
          <w:numId w:val="0"/>
        </w:numPr>
        <w:spacing w:line="360" w:lineRule="auto"/>
        <w:ind w:left="482" w:left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4、需支持</w:t>
      </w:r>
      <w:r>
        <w:rPr>
          <w:rFonts w:hint="eastAsia" w:ascii="宋体" w:hAnsi="宋体" w:eastAsia="宋体" w:cs="宋体"/>
        </w:rPr>
        <w:t>各类风险点全自动提醒预警、甚至医嘱拦截，提高院内VTE防治质量；</w:t>
      </w:r>
    </w:p>
    <w:p>
      <w:pPr>
        <w:pStyle w:val="11"/>
        <w:numPr>
          <w:ilvl w:val="0"/>
          <w:numId w:val="0"/>
        </w:numPr>
        <w:spacing w:line="360" w:lineRule="auto"/>
        <w:ind w:left="482" w:left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5、需</w:t>
      </w:r>
      <w:r>
        <w:rPr>
          <w:rFonts w:hint="eastAsia" w:ascii="宋体" w:hAnsi="宋体" w:eastAsia="宋体" w:cs="宋体"/>
        </w:rPr>
        <w:t>打通医生与护士之间的信息壁垒，实现医护信息的共享；</w:t>
      </w:r>
    </w:p>
    <w:p>
      <w:pPr>
        <w:pStyle w:val="11"/>
        <w:numPr>
          <w:ilvl w:val="0"/>
          <w:numId w:val="0"/>
        </w:numPr>
        <w:spacing w:line="360" w:lineRule="auto"/>
        <w:ind w:left="482" w:left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lang w:val="en-US" w:eastAsia="zh-CN"/>
        </w:rPr>
        <w:t>6、厂家所提供的诊疗路径需支持医嘱系统的直接回写开单功能，提升医院医生工作效率；</w:t>
      </w:r>
    </w:p>
    <w:p>
      <w:pPr>
        <w:pStyle w:val="11"/>
        <w:numPr>
          <w:ilvl w:val="0"/>
          <w:numId w:val="0"/>
        </w:numPr>
        <w:spacing w:line="360" w:lineRule="auto"/>
        <w:ind w:left="482" w:leftChars="0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7、建设厂家需保障</w:t>
      </w:r>
      <w:r>
        <w:rPr>
          <w:rFonts w:hint="eastAsia" w:ascii="宋体" w:hAnsi="宋体" w:eastAsia="宋体" w:cs="宋体"/>
          <w:highlight w:val="none"/>
        </w:rPr>
        <w:t>产品</w:t>
      </w:r>
      <w:r>
        <w:rPr>
          <w:rFonts w:hint="eastAsia" w:ascii="宋体" w:hAnsi="宋体" w:eastAsia="宋体" w:cs="宋体"/>
          <w:highlight w:val="none"/>
          <w:lang w:val="en-US" w:eastAsia="zh-CN"/>
        </w:rPr>
        <w:t>的</w:t>
      </w:r>
      <w:r>
        <w:rPr>
          <w:rFonts w:hint="eastAsia" w:ascii="宋体" w:hAnsi="宋体" w:eastAsia="宋体" w:cs="宋体"/>
          <w:highlight w:val="none"/>
        </w:rPr>
        <w:t>成熟</w:t>
      </w:r>
      <w:r>
        <w:rPr>
          <w:rFonts w:hint="eastAsia" w:ascii="宋体" w:hAnsi="宋体" w:eastAsia="宋体" w:cs="宋体"/>
          <w:highlight w:val="none"/>
          <w:lang w:val="en-US" w:eastAsia="zh-CN"/>
        </w:rPr>
        <w:t>和可落地性</w:t>
      </w:r>
      <w:r>
        <w:rPr>
          <w:rFonts w:hint="eastAsia" w:ascii="宋体" w:hAnsi="宋体" w:eastAsia="宋体" w:cs="宋体"/>
          <w:highlight w:val="none"/>
        </w:rPr>
        <w:t>，</w:t>
      </w:r>
      <w:r>
        <w:rPr>
          <w:rFonts w:hint="eastAsia" w:ascii="宋体" w:hAnsi="宋体" w:eastAsia="宋体" w:cs="宋体"/>
          <w:highlight w:val="none"/>
          <w:lang w:val="en-US" w:eastAsia="zh-CN"/>
        </w:rPr>
        <w:t>需有丰富且权威的</w:t>
      </w:r>
      <w:r>
        <w:rPr>
          <w:rFonts w:hint="eastAsia" w:ascii="宋体" w:hAnsi="宋体" w:eastAsia="宋体" w:cs="宋体"/>
          <w:highlight w:val="none"/>
        </w:rPr>
        <w:t>落地案例</w:t>
      </w:r>
      <w:r>
        <w:rPr>
          <w:rFonts w:hint="eastAsia" w:ascii="宋体" w:hAnsi="宋体" w:eastAsia="宋体" w:cs="宋体"/>
          <w:highlight w:val="none"/>
          <w:lang w:val="en-US" w:eastAsia="zh-CN"/>
        </w:rPr>
        <w:t>支撑。</w:t>
      </w:r>
    </w:p>
    <w:p>
      <w:pPr>
        <w:pStyle w:val="11"/>
        <w:numPr>
          <w:ilvl w:val="0"/>
          <w:numId w:val="0"/>
        </w:numPr>
        <w:spacing w:line="360" w:lineRule="auto"/>
        <w:ind w:firstLine="442" w:firstLineChars="200"/>
        <w:rPr>
          <w:rFonts w:ascii="宋体" w:hAnsi="宋体" w:eastAsia="宋体"/>
          <w:b/>
          <w:bCs/>
          <w:szCs w:val="21"/>
        </w:rPr>
      </w:pPr>
      <w:r>
        <w:rPr>
          <w:rFonts w:hint="eastAsia" w:ascii="宋体" w:hAnsi="宋体" w:eastAsia="宋体"/>
          <w:b/>
          <w:bCs/>
          <w:szCs w:val="21"/>
          <w:lang w:val="en-US" w:eastAsia="zh-CN"/>
        </w:rPr>
        <w:t>8、</w:t>
      </w:r>
      <w:r>
        <w:rPr>
          <w:rFonts w:hint="eastAsia" w:ascii="宋体" w:hAnsi="宋体" w:eastAsia="宋体"/>
          <w:b/>
          <w:bCs/>
          <w:szCs w:val="21"/>
        </w:rPr>
        <w:t>无限扩展能力，满足医院个性化需求：</w:t>
      </w:r>
    </w:p>
    <w:p>
      <w:pPr>
        <w:pStyle w:val="11"/>
        <w:numPr>
          <w:ilvl w:val="0"/>
          <w:numId w:val="3"/>
        </w:numPr>
        <w:spacing w:line="360" w:lineRule="auto"/>
        <w:ind w:firstLineChars="0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自带上千条病历质控、首页质控、编码质控点</w:t>
      </w:r>
    </w:p>
    <w:p>
      <w:pPr>
        <w:pStyle w:val="11"/>
        <w:numPr>
          <w:ilvl w:val="0"/>
          <w:numId w:val="3"/>
        </w:numPr>
        <w:spacing w:line="360" w:lineRule="auto"/>
        <w:ind w:firstLineChars="0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先进的病历质控点开发技术，能快速满足医院个性化的质控要求</w:t>
      </w:r>
    </w:p>
    <w:p>
      <w:pPr>
        <w:pStyle w:val="11"/>
        <w:numPr>
          <w:ilvl w:val="0"/>
          <w:numId w:val="3"/>
        </w:numPr>
        <w:spacing w:line="360" w:lineRule="auto"/>
        <w:ind w:firstLineChars="0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支持医院自定义配置每条质控点卡控权限，满足医院不同阶段质控需求</w:t>
      </w:r>
    </w:p>
    <w:p>
      <w:pPr>
        <w:pStyle w:val="11"/>
        <w:numPr>
          <w:ilvl w:val="0"/>
          <w:numId w:val="3"/>
        </w:numPr>
        <w:spacing w:line="360" w:lineRule="auto"/>
        <w:ind w:firstLineChars="0"/>
        <w:rPr>
          <w:rFonts w:ascii="宋体" w:hAnsi="宋体" w:eastAsia="宋体"/>
          <w:szCs w:val="21"/>
        </w:rPr>
      </w:pPr>
      <w:bookmarkStart w:id="0" w:name="_Hlk160726874"/>
      <w:r>
        <w:rPr>
          <w:rFonts w:hint="eastAsia" w:ascii="宋体" w:hAnsi="宋体" w:eastAsia="宋体"/>
          <w:szCs w:val="21"/>
        </w:rPr>
        <w:t>支持自定义质控级别，满足医院多级质控管理需求</w:t>
      </w:r>
    </w:p>
    <w:bookmarkEnd w:id="0"/>
    <w:p>
      <w:pPr>
        <w:pStyle w:val="11"/>
        <w:numPr>
          <w:ilvl w:val="0"/>
          <w:numId w:val="0"/>
        </w:numPr>
        <w:spacing w:line="360" w:lineRule="auto"/>
        <w:ind w:left="600" w:leftChars="0"/>
        <w:rPr>
          <w:rFonts w:ascii="宋体" w:hAnsi="宋体" w:eastAsia="宋体"/>
          <w:b/>
          <w:bCs/>
          <w:szCs w:val="21"/>
        </w:rPr>
      </w:pPr>
      <w:r>
        <w:rPr>
          <w:rFonts w:hint="eastAsia" w:ascii="宋体" w:hAnsi="宋体" w:eastAsia="宋体"/>
          <w:b/>
          <w:bCs/>
          <w:szCs w:val="21"/>
          <w:lang w:val="en-US" w:eastAsia="zh-CN"/>
        </w:rPr>
        <w:t>9、</w:t>
      </w:r>
      <w:r>
        <w:rPr>
          <w:rFonts w:hint="eastAsia" w:ascii="宋体" w:hAnsi="宋体" w:eastAsia="宋体"/>
          <w:b/>
          <w:bCs/>
          <w:szCs w:val="21"/>
        </w:rPr>
        <w:t>高度集成多场景智慧应用：</w:t>
      </w:r>
    </w:p>
    <w:p>
      <w:pPr>
        <w:pStyle w:val="11"/>
        <w:numPr>
          <w:ilvl w:val="0"/>
          <w:numId w:val="3"/>
        </w:numPr>
        <w:spacing w:line="360" w:lineRule="auto"/>
        <w:ind w:firstLineChars="0"/>
        <w:rPr>
          <w:rFonts w:ascii="宋体" w:hAnsi="宋体" w:eastAsia="宋体"/>
          <w:szCs w:val="21"/>
        </w:rPr>
      </w:pPr>
      <w:r>
        <w:rPr>
          <w:rFonts w:ascii="宋体" w:hAnsi="宋体" w:eastAsia="宋体"/>
          <w:szCs w:val="21"/>
        </w:rPr>
        <w:t>AI</w:t>
      </w:r>
      <w:r>
        <w:rPr>
          <w:rFonts w:hint="eastAsia" w:ascii="宋体" w:hAnsi="宋体" w:eastAsia="宋体"/>
          <w:szCs w:val="21"/>
        </w:rPr>
        <w:t>自动解析患者病历，对运行病历及首页实时进行质控并提醒医生，从源头改善病历、病案质量</w:t>
      </w:r>
    </w:p>
    <w:p>
      <w:pPr>
        <w:pStyle w:val="11"/>
        <w:numPr>
          <w:ilvl w:val="0"/>
          <w:numId w:val="3"/>
        </w:numPr>
        <w:spacing w:line="360" w:lineRule="auto"/>
        <w:ind w:firstLineChars="0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“内涵+形式”质控全方位监测病历及首页临床数据录入</w:t>
      </w:r>
    </w:p>
    <w:p>
      <w:pPr>
        <w:pStyle w:val="11"/>
        <w:numPr>
          <w:ilvl w:val="0"/>
          <w:numId w:val="3"/>
        </w:numPr>
        <w:spacing w:line="360" w:lineRule="auto"/>
        <w:ind w:firstLineChars="0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“事中质控+事后分析”提升医院病历及病案首页质量</w:t>
      </w:r>
    </w:p>
    <w:p>
      <w:pPr>
        <w:pStyle w:val="11"/>
        <w:numPr>
          <w:ilvl w:val="0"/>
          <w:numId w:val="3"/>
        </w:numPr>
        <w:spacing w:line="360" w:lineRule="auto"/>
        <w:ind w:firstLineChars="0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首页形式+内涵质控、编码质控，快速减轻病案管理员及编码员工作量</w:t>
      </w:r>
    </w:p>
    <w:p>
      <w:pPr>
        <w:pStyle w:val="11"/>
        <w:numPr>
          <w:ilvl w:val="0"/>
          <w:numId w:val="3"/>
        </w:numPr>
        <w:spacing w:line="360" w:lineRule="auto"/>
        <w:ind w:firstLineChars="0"/>
        <w:rPr>
          <w:rFonts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在线审核、缺陷原文定位、问题在线交互、人工评价单下发，全流程智能辅助，大幅提高病历、首页错误修正的工作效率</w:t>
      </w:r>
    </w:p>
    <w:p>
      <w:pPr>
        <w:pStyle w:val="11"/>
        <w:numPr>
          <w:ilvl w:val="0"/>
          <w:numId w:val="0"/>
        </w:numPr>
        <w:spacing w:line="360" w:lineRule="auto"/>
        <w:ind w:left="600" w:leftChars="0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/>
          <w:b/>
          <w:bCs/>
          <w:szCs w:val="21"/>
          <w:lang w:val="en-US" w:eastAsia="zh-CN"/>
        </w:rPr>
        <w:t>10、</w:t>
      </w:r>
      <w:r>
        <w:rPr>
          <w:rFonts w:hint="eastAsia" w:ascii="宋体" w:hAnsi="宋体" w:eastAsia="宋体"/>
          <w:b/>
          <w:bCs/>
          <w:szCs w:val="21"/>
        </w:rPr>
        <w:t>产品成熟，满足国家病历书写规范、病案首页填写要求、三级医院绩效考核、电子病历评审等国家评审及指标要求。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B9120F"/>
    <w:multiLevelType w:val="multilevel"/>
    <w:tmpl w:val="0AB9120F"/>
    <w:lvl w:ilvl="0" w:tentative="0">
      <w:start w:val="1"/>
      <w:numFmt w:val="bullet"/>
      <w:lvlText w:val=""/>
      <w:lvlJc w:val="left"/>
      <w:pPr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620" w:hanging="420"/>
      </w:pPr>
      <w:rPr>
        <w:rFonts w:hint="default" w:ascii="Wingdings" w:hAnsi="Wingdings"/>
      </w:rPr>
    </w:lvl>
  </w:abstractNum>
  <w:abstractNum w:abstractNumId="1">
    <w:nsid w:val="0DB686CA"/>
    <w:multiLevelType w:val="singleLevel"/>
    <w:tmpl w:val="0DB686CA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601841D7"/>
    <w:multiLevelType w:val="singleLevel"/>
    <w:tmpl w:val="601841D7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1MWQ0NjBmODcxN2NjNTEzOWRkMWU5ZDZjNDc1ZDQifQ=="/>
  </w:docVars>
  <w:rsids>
    <w:rsidRoot w:val="538052AB"/>
    <w:rsid w:val="02223910"/>
    <w:rsid w:val="068C6D6B"/>
    <w:rsid w:val="185E7379"/>
    <w:rsid w:val="39C169FB"/>
    <w:rsid w:val="40C81FB2"/>
    <w:rsid w:val="538052AB"/>
    <w:rsid w:val="5B5F1001"/>
    <w:rsid w:val="6712276E"/>
    <w:rsid w:val="698606AC"/>
    <w:rsid w:val="6E3C5A9B"/>
    <w:rsid w:val="71467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0" w:beforeLines="40" w:after="40" w:afterLines="40"/>
      <w:outlineLvl w:val="0"/>
    </w:pPr>
    <w:rPr>
      <w:b/>
      <w:bCs/>
      <w:kern w:val="44"/>
      <w:szCs w:val="44"/>
    </w:rPr>
  </w:style>
  <w:style w:type="paragraph" w:styleId="3">
    <w:name w:val="heading 4"/>
    <w:basedOn w:val="1"/>
    <w:next w:val="1"/>
    <w:qFormat/>
    <w:uiPriority w:val="0"/>
    <w:pPr>
      <w:keepNext/>
      <w:keepLines/>
      <w:outlineLvl w:val="3"/>
    </w:pPr>
    <w:rPr>
      <w:rFonts w:ascii="Arial" w:hAnsi="Arial"/>
      <w:b/>
      <w:bCs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3"/>
    <w:basedOn w:val="1"/>
    <w:qFormat/>
    <w:uiPriority w:val="0"/>
    <w:pPr>
      <w:widowControl/>
      <w:spacing w:line="500" w:lineRule="exact"/>
      <w:jc w:val="left"/>
    </w:pPr>
    <w:rPr>
      <w:b/>
      <w:bCs/>
      <w:kern w:val="0"/>
      <w:sz w:val="24"/>
    </w:r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ody Text Indent"/>
    <w:basedOn w:val="1"/>
    <w:qFormat/>
    <w:uiPriority w:val="0"/>
    <w:pPr>
      <w:ind w:firstLine="555"/>
    </w:pPr>
    <w:rPr>
      <w:lang w:val="zh-CN"/>
    </w:rPr>
  </w:style>
  <w:style w:type="paragraph" w:styleId="7">
    <w:name w:val="Title"/>
    <w:basedOn w:val="1"/>
    <w:next w:val="1"/>
    <w:qFormat/>
    <w:uiPriority w:val="10"/>
    <w:pPr>
      <w:spacing w:before="60" w:after="60"/>
      <w:jc w:val="left"/>
      <w:outlineLvl w:val="2"/>
    </w:pPr>
    <w:rPr>
      <w:rFonts w:asciiTheme="majorHAnsi" w:hAnsiTheme="majorHAnsi" w:eastAsiaTheme="majorEastAsia" w:cstheme="majorBidi"/>
      <w:b/>
      <w:bCs/>
      <w:sz w:val="28"/>
      <w:szCs w:val="32"/>
    </w:rPr>
  </w:style>
  <w:style w:type="paragraph" w:styleId="8">
    <w:name w:val="Body Text First Indent 2"/>
    <w:basedOn w:val="6"/>
    <w:unhideWhenUsed/>
    <w:qFormat/>
    <w:uiPriority w:val="99"/>
    <w:pPr>
      <w:ind w:firstLine="420" w:firstLineChars="200"/>
    </w:pPr>
  </w:style>
  <w:style w:type="paragraph" w:styleId="11">
    <w:name w:val="List Paragraph"/>
    <w:basedOn w:val="1"/>
    <w:qFormat/>
    <w:uiPriority w:val="34"/>
    <w:pPr>
      <w:widowControl/>
      <w:spacing w:after="160" w:line="259" w:lineRule="auto"/>
      <w:ind w:firstLine="420" w:firstLineChars="200"/>
      <w:jc w:val="left"/>
    </w:pPr>
    <w:rPr>
      <w:rFonts w:ascii="Calibri" w:hAnsi="Calibri"/>
      <w:kern w:val="0"/>
      <w:sz w:val="22"/>
      <w:szCs w:val="22"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2330</Words>
  <Characters>2620</Characters>
  <Lines>0</Lines>
  <Paragraphs>0</Paragraphs>
  <TotalTime>0</TotalTime>
  <ScaleCrop>false</ScaleCrop>
  <LinksUpToDate>false</LinksUpToDate>
  <CharactersWithSpaces>2641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2024-03-01T03:21:00Z</dcterms:created>
  <dc:creator>明眸°　Sun</dc:creator>
  <cp:lastModifiedBy>随波逐流</cp:lastModifiedBy>
  <dcterms:modified xsi:type="dcterms:W3CDTF">2024-06-26T09:27:58Z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A8718CB82E8A4F8CB4A88344EE2DDABE_13</vt:lpwstr>
  </property>
</Properties>
</file>