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附件2：竞标比选评分标准</w:t>
      </w:r>
      <w:bookmarkStart w:id="0" w:name="_GoBack"/>
      <w:bookmarkEnd w:id="0"/>
    </w:p>
    <w:tbl>
      <w:tblPr>
        <w:tblStyle w:val="3"/>
        <w:tblW w:w="918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540"/>
        <w:gridCol w:w="4860"/>
        <w:gridCol w:w="2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9" w:hRule="atLeast"/>
        </w:trPr>
        <w:tc>
          <w:tcPr>
            <w:tcW w:w="1260" w:type="dxa"/>
            <w:vAlign w:val="center"/>
          </w:tcPr>
          <w:p>
            <w:pPr>
              <w:spacing w:line="400" w:lineRule="exact"/>
              <w:ind w:firstLine="28"/>
              <w:jc w:val="center"/>
              <w:rPr>
                <w:rFonts w:ascii="宋体" w:hAnsi="宋体"/>
                <w:b/>
                <w:szCs w:val="21"/>
              </w:rPr>
            </w:pPr>
            <w:r>
              <w:rPr>
                <w:rFonts w:hint="eastAsia" w:ascii="宋体" w:hAnsi="宋体"/>
                <w:b/>
                <w:szCs w:val="21"/>
              </w:rPr>
              <w:t>评分因素及权重</w:t>
            </w:r>
          </w:p>
        </w:tc>
        <w:tc>
          <w:tcPr>
            <w:tcW w:w="540" w:type="dxa"/>
            <w:vAlign w:val="center"/>
          </w:tcPr>
          <w:p>
            <w:pPr>
              <w:spacing w:line="400" w:lineRule="exact"/>
              <w:ind w:firstLine="28"/>
              <w:jc w:val="center"/>
              <w:rPr>
                <w:rFonts w:ascii="宋体" w:hAnsi="宋体"/>
                <w:b/>
                <w:szCs w:val="21"/>
              </w:rPr>
            </w:pPr>
            <w:r>
              <w:rPr>
                <w:rFonts w:hint="eastAsia" w:ascii="宋体" w:hAnsi="宋体"/>
                <w:b/>
                <w:szCs w:val="21"/>
              </w:rPr>
              <w:t>分值</w:t>
            </w:r>
          </w:p>
        </w:tc>
        <w:tc>
          <w:tcPr>
            <w:tcW w:w="4860" w:type="dxa"/>
            <w:vAlign w:val="center"/>
          </w:tcPr>
          <w:p>
            <w:pPr>
              <w:spacing w:line="400" w:lineRule="exact"/>
              <w:ind w:firstLine="28"/>
              <w:jc w:val="center"/>
              <w:rPr>
                <w:rFonts w:ascii="宋体" w:hAnsi="宋体"/>
                <w:b/>
                <w:szCs w:val="21"/>
              </w:rPr>
            </w:pPr>
            <w:r>
              <w:rPr>
                <w:rFonts w:hint="eastAsia" w:ascii="宋体" w:hAnsi="宋体"/>
                <w:b/>
                <w:szCs w:val="21"/>
              </w:rPr>
              <w:t>评分标准</w:t>
            </w:r>
          </w:p>
        </w:tc>
        <w:tc>
          <w:tcPr>
            <w:tcW w:w="2523" w:type="dxa"/>
            <w:vAlign w:val="center"/>
          </w:tcPr>
          <w:p>
            <w:pPr>
              <w:spacing w:line="400" w:lineRule="exact"/>
              <w:jc w:val="center"/>
              <w:rPr>
                <w:rFonts w:ascii="宋体" w:hAnsi="宋体"/>
                <w:b/>
                <w:szCs w:val="21"/>
              </w:rPr>
            </w:pPr>
            <w:r>
              <w:rPr>
                <w:rFonts w:hint="eastAsia" w:ascii="宋体" w:hAnsi="宋体"/>
                <w:b/>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99" w:hRule="atLeast"/>
        </w:trPr>
        <w:tc>
          <w:tcPr>
            <w:tcW w:w="1260" w:type="dxa"/>
            <w:vAlign w:val="center"/>
          </w:tcPr>
          <w:p>
            <w:pPr>
              <w:spacing w:line="400" w:lineRule="exact"/>
              <w:ind w:firstLine="28"/>
              <w:jc w:val="center"/>
              <w:rPr>
                <w:rFonts w:ascii="宋体" w:hAnsi="宋体"/>
                <w:szCs w:val="21"/>
              </w:rPr>
            </w:pPr>
            <w:r>
              <w:rPr>
                <w:rFonts w:hint="eastAsia" w:ascii="宋体" w:hAnsi="宋体"/>
                <w:szCs w:val="21"/>
              </w:rPr>
              <w:t>投标报价</w:t>
            </w:r>
          </w:p>
          <w:p>
            <w:pPr>
              <w:spacing w:line="400" w:lineRule="exact"/>
              <w:ind w:firstLine="28"/>
              <w:jc w:val="center"/>
              <w:rPr>
                <w:rFonts w:ascii="宋体" w:hAnsi="宋体"/>
                <w:szCs w:val="21"/>
              </w:rPr>
            </w:pPr>
            <w:r>
              <w:rPr>
                <w:rFonts w:hint="eastAsia" w:ascii="宋体" w:hAnsi="宋体"/>
                <w:szCs w:val="21"/>
                <w:lang w:val="en-US" w:eastAsia="zh-CN"/>
              </w:rPr>
              <w:t>40</w:t>
            </w:r>
            <w:r>
              <w:rPr>
                <w:rFonts w:hint="eastAsia" w:ascii="宋体" w:hAnsi="宋体"/>
                <w:szCs w:val="21"/>
              </w:rPr>
              <w:t>%</w:t>
            </w:r>
          </w:p>
        </w:tc>
        <w:tc>
          <w:tcPr>
            <w:tcW w:w="540" w:type="dxa"/>
            <w:vAlign w:val="center"/>
          </w:tcPr>
          <w:p>
            <w:pPr>
              <w:spacing w:line="400" w:lineRule="exact"/>
              <w:ind w:firstLine="28"/>
              <w:jc w:val="center"/>
              <w:rPr>
                <w:rFonts w:hint="eastAsia" w:ascii="宋体" w:hAnsi="宋体" w:eastAsia="宋体"/>
                <w:szCs w:val="21"/>
                <w:lang w:val="en-US" w:eastAsia="zh-CN"/>
              </w:rPr>
            </w:pPr>
            <w:r>
              <w:rPr>
                <w:rFonts w:hint="eastAsia" w:ascii="宋体" w:hAnsi="宋体"/>
                <w:szCs w:val="21"/>
                <w:lang w:val="en-US" w:eastAsia="zh-CN"/>
              </w:rPr>
              <w:t>40</w:t>
            </w:r>
          </w:p>
        </w:tc>
        <w:tc>
          <w:tcPr>
            <w:tcW w:w="4860" w:type="dxa"/>
            <w:vAlign w:val="center"/>
          </w:tcPr>
          <w:p>
            <w:pPr>
              <w:spacing w:line="400" w:lineRule="exact"/>
              <w:rPr>
                <w:rFonts w:ascii="宋体" w:hAnsi="宋体"/>
                <w:szCs w:val="21"/>
              </w:rPr>
            </w:pPr>
            <w:r>
              <w:rPr>
                <w:rFonts w:hint="eastAsia" w:ascii="宋体" w:hAnsi="宋体"/>
                <w:szCs w:val="21"/>
              </w:rPr>
              <w:t>以本次最低投标报价为基准价，</w:t>
            </w:r>
            <w:r>
              <w:rPr>
                <w:rFonts w:hint="eastAsia" w:ascii="宋体" w:hAnsi="宋体" w:cs="仿宋_GB2312"/>
                <w:sz w:val="24"/>
              </w:rPr>
              <w:t>获得基准价标得分4</w:t>
            </w:r>
            <w:r>
              <w:rPr>
                <w:rFonts w:hint="eastAsia" w:ascii="宋体" w:hAnsi="宋体" w:cs="仿宋_GB2312"/>
                <w:sz w:val="24"/>
                <w:lang w:val="en-US" w:eastAsia="zh-CN"/>
              </w:rPr>
              <w:t>0</w:t>
            </w:r>
            <w:r>
              <w:rPr>
                <w:rFonts w:hint="eastAsia" w:ascii="宋体" w:hAnsi="宋体" w:cs="仿宋_GB2312"/>
                <w:sz w:val="24"/>
              </w:rPr>
              <w:t>分</w:t>
            </w:r>
          </w:p>
        </w:tc>
        <w:tc>
          <w:tcPr>
            <w:tcW w:w="2523" w:type="dxa"/>
            <w:vAlign w:val="center"/>
          </w:tcPr>
          <w:p>
            <w:pPr>
              <w:spacing w:line="400" w:lineRule="exact"/>
              <w:rPr>
                <w:rFonts w:hint="eastAsia" w:ascii="宋体" w:hAnsi="宋体" w:eastAsia="宋体"/>
                <w:szCs w:val="21"/>
                <w:lang w:val="en-US" w:eastAsia="zh-CN"/>
              </w:rPr>
            </w:pPr>
            <w:r>
              <w:rPr>
                <w:rFonts w:hint="eastAsia" w:ascii="宋体" w:hAnsi="宋体" w:cs="仿宋_GB2312"/>
                <w:sz w:val="24"/>
              </w:rPr>
              <w:t>满足项目要求且投标价格最低的投标报价为评标基准价，其价格分为满分，其他投标人的价格分按下列公式计算：投标报价得分＝（评标基准价/投标报价）x4</w:t>
            </w:r>
            <w:r>
              <w:rPr>
                <w:rFonts w:hint="eastAsia" w:ascii="宋体" w:hAnsi="宋体" w:cs="仿宋_GB2312"/>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30" w:hRule="atLeast"/>
        </w:trPr>
        <w:tc>
          <w:tcPr>
            <w:tcW w:w="1260" w:type="dxa"/>
            <w:vAlign w:val="center"/>
          </w:tcPr>
          <w:p>
            <w:pPr>
              <w:spacing w:line="360" w:lineRule="auto"/>
              <w:ind w:firstLine="42" w:firstLineChars="20"/>
              <w:jc w:val="center"/>
              <w:rPr>
                <w:rFonts w:ascii="宋体" w:hAnsi="宋体"/>
                <w:szCs w:val="21"/>
              </w:rPr>
            </w:pPr>
            <w:r>
              <w:rPr>
                <w:rFonts w:hint="eastAsia" w:ascii="宋体" w:hAnsi="宋体"/>
                <w:szCs w:val="21"/>
                <w:lang w:eastAsia="zh-CN"/>
              </w:rPr>
              <w:t>产品</w:t>
            </w:r>
            <w:r>
              <w:rPr>
                <w:rFonts w:hint="eastAsia" w:ascii="宋体" w:hAnsi="宋体"/>
                <w:szCs w:val="21"/>
              </w:rPr>
              <w:t>指标</w:t>
            </w:r>
          </w:p>
          <w:p>
            <w:pPr>
              <w:spacing w:line="360" w:lineRule="auto"/>
              <w:ind w:firstLine="42" w:firstLineChars="20"/>
              <w:jc w:val="center"/>
              <w:rPr>
                <w:rFonts w:ascii="宋体" w:hAnsi="宋体"/>
                <w:szCs w:val="21"/>
              </w:rPr>
            </w:pPr>
            <w:r>
              <w:rPr>
                <w:rFonts w:hint="eastAsia" w:ascii="宋体" w:hAnsi="宋体"/>
                <w:szCs w:val="21"/>
                <w:lang w:val="en-US" w:eastAsia="zh-CN"/>
              </w:rPr>
              <w:t>30</w:t>
            </w:r>
            <w:r>
              <w:rPr>
                <w:rFonts w:hint="eastAsia" w:ascii="宋体" w:hAnsi="宋体"/>
                <w:szCs w:val="21"/>
              </w:rPr>
              <w:t>%</w:t>
            </w:r>
          </w:p>
        </w:tc>
        <w:tc>
          <w:tcPr>
            <w:tcW w:w="540" w:type="dxa"/>
            <w:vAlign w:val="center"/>
          </w:tcPr>
          <w:p>
            <w:pPr>
              <w:spacing w:line="360" w:lineRule="auto"/>
              <w:ind w:firstLine="28"/>
              <w:jc w:val="center"/>
              <w:rPr>
                <w:rFonts w:hint="eastAsia" w:ascii="宋体" w:hAnsi="宋体" w:eastAsia="宋体"/>
                <w:szCs w:val="21"/>
                <w:lang w:val="en-US" w:eastAsia="zh-CN"/>
              </w:rPr>
            </w:pPr>
            <w:r>
              <w:rPr>
                <w:rFonts w:hint="eastAsia" w:ascii="宋体" w:hAnsi="宋体"/>
                <w:szCs w:val="21"/>
                <w:lang w:val="en-US" w:eastAsia="zh-CN"/>
              </w:rPr>
              <w:t>30</w:t>
            </w:r>
          </w:p>
        </w:tc>
        <w:tc>
          <w:tcPr>
            <w:tcW w:w="4860" w:type="dxa"/>
            <w:vAlign w:val="center"/>
          </w:tcPr>
          <w:p>
            <w:pPr>
              <w:numPr>
                <w:ilvl w:val="0"/>
                <w:numId w:val="1"/>
              </w:numPr>
              <w:rPr>
                <w:szCs w:val="21"/>
              </w:rPr>
            </w:pPr>
            <w:r>
              <w:rPr>
                <w:rFonts w:hint="eastAsia"/>
                <w:szCs w:val="21"/>
              </w:rPr>
              <w:t>投标人按要求提供相关资质材料</w:t>
            </w:r>
            <w:r>
              <w:rPr>
                <w:rFonts w:hint="eastAsia"/>
                <w:szCs w:val="21"/>
                <w:lang w:val="en-US" w:eastAsia="zh-CN"/>
              </w:rPr>
              <w:t>10分</w:t>
            </w:r>
            <w:r>
              <w:rPr>
                <w:rFonts w:hint="eastAsia"/>
                <w:szCs w:val="21"/>
              </w:rPr>
              <w:t>（未提供资质材料本项不得分）</w:t>
            </w:r>
            <w:r>
              <w:rPr>
                <w:rFonts w:hint="eastAsia"/>
                <w:szCs w:val="21"/>
                <w:lang w:eastAsia="zh-CN"/>
              </w:rPr>
              <w:t>；</w:t>
            </w:r>
          </w:p>
          <w:p>
            <w:pPr>
              <w:numPr>
                <w:ilvl w:val="0"/>
                <w:numId w:val="0"/>
              </w:numPr>
              <w:rPr>
                <w:rFonts w:hint="eastAsia" w:eastAsia="宋体"/>
                <w:szCs w:val="21"/>
                <w:lang w:val="en-US" w:eastAsia="zh-CN"/>
              </w:rPr>
            </w:pPr>
            <w:r>
              <w:rPr>
                <w:rFonts w:hint="eastAsia"/>
                <w:szCs w:val="21"/>
                <w:lang w:val="en-US" w:eastAsia="zh-CN"/>
              </w:rPr>
              <w:t>2.</w:t>
            </w:r>
            <w:r>
              <w:rPr>
                <w:rFonts w:hint="eastAsia"/>
                <w:szCs w:val="21"/>
              </w:rPr>
              <w:t>投标产品样品至开标现场</w:t>
            </w:r>
            <w:r>
              <w:rPr>
                <w:rFonts w:hint="eastAsia"/>
                <w:szCs w:val="21"/>
                <w:lang w:eastAsia="zh-CN"/>
              </w:rPr>
              <w:t>，根据样品好</w:t>
            </w:r>
            <w:r>
              <w:rPr>
                <w:rFonts w:hint="eastAsia"/>
                <w:szCs w:val="21"/>
                <w:lang w:val="en-US" w:eastAsia="zh-CN"/>
              </w:rPr>
              <w:t>2</w:t>
            </w:r>
            <w:r>
              <w:rPr>
                <w:rFonts w:hint="eastAsia"/>
                <w:szCs w:val="21"/>
              </w:rPr>
              <w:t>0分</w:t>
            </w:r>
            <w:r>
              <w:rPr>
                <w:rFonts w:hint="eastAsia"/>
                <w:szCs w:val="21"/>
                <w:lang w:eastAsia="zh-CN"/>
              </w:rPr>
              <w:t>，较好</w:t>
            </w:r>
            <w:r>
              <w:rPr>
                <w:rFonts w:hint="eastAsia"/>
                <w:szCs w:val="21"/>
                <w:lang w:val="en-US" w:eastAsia="zh-CN"/>
              </w:rPr>
              <w:t>15分，</w:t>
            </w:r>
            <w:r>
              <w:rPr>
                <w:rFonts w:hint="eastAsia"/>
                <w:szCs w:val="21"/>
                <w:lang w:eastAsia="zh-CN"/>
              </w:rPr>
              <w:t>一般</w:t>
            </w:r>
            <w:r>
              <w:rPr>
                <w:rFonts w:hint="eastAsia"/>
                <w:szCs w:val="21"/>
                <w:lang w:val="en-US" w:eastAsia="zh-CN"/>
              </w:rPr>
              <w:t>10分，较差5分，差0分。</w:t>
            </w:r>
          </w:p>
          <w:p/>
        </w:tc>
        <w:tc>
          <w:tcPr>
            <w:tcW w:w="2523" w:type="dxa"/>
            <w:vAlign w:val="center"/>
          </w:tcPr>
          <w:p>
            <w:pPr>
              <w:spacing w:line="360" w:lineRule="auto"/>
              <w:rPr>
                <w:rFonts w:ascii="宋体" w:hAnsi="宋体"/>
                <w:szCs w:val="21"/>
              </w:rPr>
            </w:pPr>
            <w:r>
              <w:rPr>
                <w:rFonts w:hint="eastAsia" w:ascii="宋体" w:hAnsi="宋体"/>
                <w:szCs w:val="21"/>
              </w:rPr>
              <w:t>结合投标人提供样品、投标人现场陈述进行评分。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38" w:hRule="atLeast"/>
        </w:trPr>
        <w:tc>
          <w:tcPr>
            <w:tcW w:w="1260" w:type="dxa"/>
            <w:vAlign w:val="center"/>
          </w:tcPr>
          <w:p>
            <w:pPr>
              <w:spacing w:line="400" w:lineRule="exact"/>
              <w:jc w:val="both"/>
              <w:rPr>
                <w:rFonts w:ascii="宋体" w:hAnsi="宋体"/>
                <w:szCs w:val="21"/>
              </w:rPr>
            </w:pPr>
            <w:r>
              <w:rPr>
                <w:rFonts w:hint="eastAsia" w:ascii="宋体" w:hAnsi="宋体"/>
                <w:szCs w:val="21"/>
                <w:lang w:val="en-US" w:eastAsia="zh-CN"/>
              </w:rPr>
              <w:t>服务指标</w:t>
            </w:r>
          </w:p>
          <w:p>
            <w:pPr>
              <w:spacing w:line="400" w:lineRule="exact"/>
              <w:jc w:val="center"/>
              <w:rPr>
                <w:rFonts w:ascii="宋体" w:hAnsi="宋体"/>
                <w:szCs w:val="21"/>
              </w:rPr>
            </w:pPr>
            <w:r>
              <w:rPr>
                <w:rFonts w:hint="eastAsia" w:ascii="宋体" w:hAnsi="宋体"/>
                <w:szCs w:val="21"/>
                <w:lang w:val="en-US" w:eastAsia="zh-CN"/>
              </w:rPr>
              <w:t>20</w:t>
            </w:r>
            <w:r>
              <w:rPr>
                <w:rFonts w:hint="eastAsia" w:ascii="宋体" w:hAnsi="宋体"/>
                <w:szCs w:val="21"/>
              </w:rPr>
              <w:t>%</w:t>
            </w:r>
          </w:p>
        </w:tc>
        <w:tc>
          <w:tcPr>
            <w:tcW w:w="540" w:type="dxa"/>
            <w:vAlign w:val="center"/>
          </w:tcPr>
          <w:p>
            <w:pPr>
              <w:spacing w:line="420" w:lineRule="exact"/>
              <w:jc w:val="center"/>
              <w:rPr>
                <w:rFonts w:hint="eastAsia" w:ascii="宋体" w:hAnsi="宋体" w:eastAsia="宋体"/>
                <w:szCs w:val="21"/>
                <w:lang w:val="en-US" w:eastAsia="zh-CN"/>
              </w:rPr>
            </w:pPr>
            <w:r>
              <w:rPr>
                <w:rFonts w:hint="eastAsia" w:ascii="宋体" w:hAnsi="宋体"/>
                <w:szCs w:val="21"/>
                <w:lang w:val="en-US" w:eastAsia="zh-CN"/>
              </w:rPr>
              <w:t>20</w:t>
            </w:r>
          </w:p>
        </w:tc>
        <w:tc>
          <w:tcPr>
            <w:tcW w:w="4860" w:type="dxa"/>
            <w:vAlign w:val="center"/>
          </w:tcPr>
          <w:p>
            <w:pPr>
              <w:spacing w:line="420" w:lineRule="exact"/>
              <w:rPr>
                <w:rFonts w:ascii="宋体" w:hAnsi="宋体"/>
                <w:szCs w:val="21"/>
              </w:rPr>
            </w:pPr>
            <w:r>
              <w:rPr>
                <w:rFonts w:hint="eastAsia" w:ascii="宋体" w:hAnsi="宋体"/>
                <w:szCs w:val="21"/>
              </w:rPr>
              <w:t>根据投标人针对本次项目作出的服务方案和现场陈述及服务的能力情况，按照统一标准进行评比：</w:t>
            </w:r>
          </w:p>
          <w:p>
            <w:pPr>
              <w:numPr>
                <w:ilvl w:val="0"/>
                <w:numId w:val="2"/>
              </w:numPr>
              <w:spacing w:line="420" w:lineRule="exact"/>
              <w:rPr>
                <w:rFonts w:hint="eastAsia" w:ascii="宋体" w:hAnsi="宋体"/>
                <w:szCs w:val="21"/>
                <w:lang w:val="en-US" w:eastAsia="zh-CN"/>
              </w:rPr>
            </w:pPr>
            <w:r>
              <w:rPr>
                <w:rFonts w:hint="eastAsia" w:ascii="宋体" w:hAnsi="宋体"/>
                <w:szCs w:val="21"/>
                <w:lang w:val="en-US" w:eastAsia="zh-CN"/>
              </w:rPr>
              <w:t>能否提供高效、优质、及时便捷后期服务工作10分。</w:t>
            </w:r>
          </w:p>
          <w:p>
            <w:pPr>
              <w:numPr>
                <w:ilvl w:val="0"/>
                <w:numId w:val="2"/>
              </w:numPr>
              <w:spacing w:line="420" w:lineRule="exact"/>
              <w:rPr>
                <w:rFonts w:hint="eastAsia" w:ascii="宋体" w:hAnsi="宋体"/>
                <w:szCs w:val="21"/>
                <w:lang w:val="en-US" w:eastAsia="zh-CN"/>
              </w:rPr>
            </w:pPr>
            <w:r>
              <w:rPr>
                <w:rFonts w:hint="eastAsia" w:ascii="宋体" w:hAnsi="宋体"/>
                <w:szCs w:val="21"/>
                <w:lang w:val="en-US" w:eastAsia="zh-CN"/>
              </w:rPr>
              <w:t>能够充分理解购买方付款时效和方式10分。（先使用后付款）</w:t>
            </w:r>
          </w:p>
        </w:tc>
        <w:tc>
          <w:tcPr>
            <w:tcW w:w="2523" w:type="dxa"/>
            <w:vAlign w:val="center"/>
          </w:tcPr>
          <w:p>
            <w:pPr>
              <w:spacing w:line="420" w:lineRule="exact"/>
              <w:rPr>
                <w:rFonts w:ascii="宋体" w:hAnsi="宋体"/>
                <w:szCs w:val="21"/>
              </w:rPr>
            </w:pPr>
            <w:r>
              <w:rPr>
                <w:rFonts w:hint="eastAsia" w:ascii="宋体" w:hAnsi="宋体"/>
                <w:szCs w:val="21"/>
              </w:rPr>
              <w:t>结合投标人现场陈述的服务方案、售后承诺等进行评分。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38" w:hRule="atLeast"/>
        </w:trPr>
        <w:tc>
          <w:tcPr>
            <w:tcW w:w="1260" w:type="dxa"/>
            <w:vAlign w:val="center"/>
          </w:tcPr>
          <w:p>
            <w:pPr>
              <w:spacing w:line="400" w:lineRule="exact"/>
              <w:jc w:val="center"/>
              <w:rPr>
                <w:rFonts w:hint="eastAsia" w:ascii="宋体" w:hAnsi="宋体"/>
                <w:szCs w:val="21"/>
                <w:lang w:eastAsia="zh-CN"/>
              </w:rPr>
            </w:pPr>
            <w:r>
              <w:rPr>
                <w:rFonts w:hint="eastAsia" w:ascii="宋体" w:hAnsi="宋体"/>
                <w:szCs w:val="21"/>
                <w:lang w:eastAsia="zh-CN"/>
              </w:rPr>
              <w:t>服务能力及业绩</w:t>
            </w:r>
          </w:p>
          <w:p>
            <w:pPr>
              <w:spacing w:line="400" w:lineRule="exact"/>
              <w:jc w:val="center"/>
              <w:rPr>
                <w:rFonts w:hint="eastAsia" w:ascii="宋体" w:hAnsi="宋体"/>
                <w:szCs w:val="21"/>
              </w:rPr>
            </w:pPr>
            <w:r>
              <w:rPr>
                <w:rFonts w:hint="eastAsia" w:ascii="宋体" w:hAnsi="宋体"/>
                <w:szCs w:val="21"/>
                <w:lang w:val="en-US" w:eastAsia="zh-CN"/>
              </w:rPr>
              <w:t>10</w:t>
            </w:r>
            <w:r>
              <w:rPr>
                <w:rFonts w:hint="eastAsia" w:ascii="宋体" w:hAnsi="宋体"/>
                <w:szCs w:val="21"/>
              </w:rPr>
              <w:t>%</w:t>
            </w:r>
          </w:p>
        </w:tc>
        <w:tc>
          <w:tcPr>
            <w:tcW w:w="540" w:type="dxa"/>
            <w:vAlign w:val="center"/>
          </w:tcPr>
          <w:p>
            <w:pPr>
              <w:spacing w:line="420" w:lineRule="exact"/>
              <w:jc w:val="center"/>
              <w:rPr>
                <w:rFonts w:hint="eastAsia" w:ascii="宋体" w:hAnsi="宋体" w:eastAsia="宋体"/>
                <w:szCs w:val="21"/>
                <w:lang w:val="en-US" w:eastAsia="zh-CN"/>
              </w:rPr>
            </w:pPr>
            <w:r>
              <w:rPr>
                <w:rFonts w:hint="eastAsia" w:ascii="宋体" w:hAnsi="宋体"/>
                <w:szCs w:val="21"/>
                <w:lang w:val="en-US" w:eastAsia="zh-CN"/>
              </w:rPr>
              <w:t>10</w:t>
            </w:r>
          </w:p>
        </w:tc>
        <w:tc>
          <w:tcPr>
            <w:tcW w:w="4860" w:type="dxa"/>
            <w:vAlign w:val="center"/>
          </w:tcPr>
          <w:p>
            <w:pPr>
              <w:numPr>
                <w:ilvl w:val="0"/>
                <w:numId w:val="0"/>
              </w:numPr>
              <w:spacing w:line="420" w:lineRule="exact"/>
              <w:rPr>
                <w:rFonts w:hint="eastAsia" w:ascii="宋体" w:hAnsi="宋体"/>
                <w:szCs w:val="21"/>
                <w:lang w:val="en-US" w:eastAsia="zh-CN"/>
              </w:rPr>
            </w:pPr>
            <w:r>
              <w:rPr>
                <w:rFonts w:hint="eastAsia" w:ascii="宋体" w:hAnsi="宋体"/>
                <w:szCs w:val="21"/>
                <w:lang w:val="en-US" w:eastAsia="zh-CN"/>
              </w:rPr>
              <w:t>提供相应业绩证明（10分）</w:t>
            </w:r>
          </w:p>
        </w:tc>
        <w:tc>
          <w:tcPr>
            <w:tcW w:w="2523" w:type="dxa"/>
            <w:vAlign w:val="center"/>
          </w:tcPr>
          <w:p>
            <w:pPr>
              <w:spacing w:line="420" w:lineRule="exact"/>
              <w:rPr>
                <w:rFonts w:hint="eastAsia" w:ascii="宋体" w:hAnsi="宋体"/>
                <w:szCs w:val="21"/>
              </w:rPr>
            </w:pPr>
          </w:p>
        </w:tc>
      </w:tr>
    </w:tbl>
    <w:p/>
    <w:p>
      <w:r>
        <w:rPr>
          <w:rFonts w:hint="eastAsia"/>
        </w:rPr>
        <w:t>说明：1、本次比选采用综合评分法评判，综合得分</w:t>
      </w:r>
      <w:r>
        <w:rPr>
          <w:rFonts w:hint="eastAsia"/>
          <w:lang w:eastAsia="zh-CN"/>
        </w:rPr>
        <w:t>总分</w:t>
      </w:r>
      <w:r>
        <w:rPr>
          <w:rFonts w:hint="eastAsia"/>
        </w:rPr>
        <w:t>高者作为</w:t>
      </w:r>
      <w:r>
        <w:rPr>
          <w:rFonts w:hint="eastAsia"/>
          <w:lang w:eastAsia="zh-CN"/>
        </w:rPr>
        <w:t>第一</w:t>
      </w:r>
      <w:r>
        <w:rPr>
          <w:rFonts w:hint="eastAsia"/>
        </w:rPr>
        <w:t>中标候选人。如综合得分相同，样品及技术指标项得分高者作为中标候选人；再次，投标报价项得分高者作为中标候选人。</w:t>
      </w:r>
      <w:r>
        <w:rPr>
          <w:rFonts w:hint="eastAsia" w:ascii="仿宋_GB2312" w:eastAsia="仿宋_GB2312"/>
          <w:color w:val="000000"/>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4C88E8"/>
    <w:multiLevelType w:val="singleLevel"/>
    <w:tmpl w:val="C44C88E8"/>
    <w:lvl w:ilvl="0" w:tentative="0">
      <w:start w:val="1"/>
      <w:numFmt w:val="decimal"/>
      <w:lvlText w:val="%1."/>
      <w:lvlJc w:val="left"/>
      <w:pPr>
        <w:tabs>
          <w:tab w:val="left" w:pos="312"/>
        </w:tabs>
      </w:pPr>
    </w:lvl>
  </w:abstractNum>
  <w:abstractNum w:abstractNumId="1">
    <w:nsid w:val="5A2F7D01"/>
    <w:multiLevelType w:val="singleLevel"/>
    <w:tmpl w:val="5A2F7D01"/>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2E3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DE7D5"/>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寶燕_</cp:lastModifiedBy>
  <dcterms:modified xsi:type="dcterms:W3CDTF">2018-12-25T07:48:49Z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