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579" w:lineRule="exact"/>
        <w:ind w:firstLine="360" w:firstLineChars="100"/>
        <w:jc w:val="center"/>
        <w:rPr>
          <w:rFonts w:ascii="仿宋" w:hAnsi="仿宋" w:eastAsia="仿宋" w:cs="方正小标宋简体"/>
          <w:sz w:val="36"/>
          <w:szCs w:val="36"/>
        </w:rPr>
      </w:pPr>
      <w:r>
        <w:rPr>
          <w:rFonts w:hint="eastAsia" w:ascii="仿宋" w:hAnsi="仿宋" w:eastAsia="仿宋" w:cs="方正小标宋简体"/>
          <w:sz w:val="36"/>
          <w:szCs w:val="36"/>
        </w:rPr>
        <w:t>成都市第五人民医院</w:t>
      </w:r>
    </w:p>
    <w:p>
      <w:pPr>
        <w:spacing w:line="360" w:lineRule="auto"/>
        <w:ind w:firstLine="720" w:firstLineChars="200"/>
        <w:jc w:val="center"/>
        <w:rPr>
          <w:rFonts w:ascii="仿宋" w:hAnsi="仿宋" w:eastAsia="仿宋"/>
          <w:sz w:val="32"/>
          <w:szCs w:val="32"/>
        </w:rPr>
      </w:pPr>
      <w:r>
        <w:rPr>
          <w:rFonts w:hint="eastAsia" w:ascii="仿宋" w:hAnsi="仿宋" w:eastAsia="仿宋" w:cs="方正小标宋简体"/>
          <w:sz w:val="36"/>
          <w:szCs w:val="36"/>
        </w:rPr>
        <w:t>数据中心机房维保服务项目需求</w:t>
      </w:r>
    </w:p>
    <w:p>
      <w:pPr>
        <w:spacing w:line="360" w:lineRule="auto"/>
        <w:ind w:firstLine="560" w:firstLineChars="200"/>
        <w:rPr>
          <w:rFonts w:ascii="仿宋" w:hAnsi="仿宋" w:eastAsia="仿宋"/>
          <w:sz w:val="28"/>
          <w:szCs w:val="28"/>
        </w:rPr>
      </w:pPr>
      <w:r>
        <w:rPr>
          <w:rFonts w:hint="eastAsia" w:ascii="仿宋" w:hAnsi="仿宋" w:eastAsia="仿宋"/>
          <w:sz w:val="28"/>
          <w:szCs w:val="28"/>
        </w:rPr>
        <w:t>一、项目概述</w:t>
      </w:r>
    </w:p>
    <w:p>
      <w:pPr>
        <w:spacing w:line="360" w:lineRule="auto"/>
        <w:ind w:firstLine="480" w:firstLineChars="200"/>
        <w:rPr>
          <w:rFonts w:ascii="仿宋" w:hAnsi="仿宋" w:eastAsia="仿宋"/>
          <w:sz w:val="24"/>
        </w:rPr>
      </w:pPr>
      <w:r>
        <w:rPr>
          <w:rFonts w:hint="eastAsia" w:ascii="仿宋" w:hAnsi="仿宋" w:eastAsia="仿宋"/>
          <w:sz w:val="24"/>
        </w:rPr>
        <w:t>医院拟对数据中心内的若干存储、服务器及相关备份设备购买一年的</w:t>
      </w:r>
      <w:r>
        <w:rPr>
          <w:rFonts w:hint="eastAsia" w:ascii="仿宋" w:hAnsi="仿宋" w:eastAsia="仿宋"/>
          <w:sz w:val="24"/>
          <w:lang w:val="en-US" w:eastAsia="zh-CN"/>
        </w:rPr>
        <w:t>维</w:t>
      </w:r>
      <w:r>
        <w:rPr>
          <w:rFonts w:hint="eastAsia" w:ascii="仿宋" w:hAnsi="仿宋" w:eastAsia="仿宋"/>
          <w:sz w:val="24"/>
        </w:rPr>
        <w:t>保服务，详细的设备型号数量如下表所示：</w:t>
      </w:r>
    </w:p>
    <w:p>
      <w:pPr>
        <w:spacing w:line="360" w:lineRule="auto"/>
        <w:ind w:firstLine="560" w:firstLineChars="200"/>
        <w:rPr>
          <w:rFonts w:ascii="仿宋" w:hAnsi="仿宋" w:eastAsia="仿宋"/>
          <w:sz w:val="28"/>
          <w:szCs w:val="28"/>
        </w:rPr>
      </w:pPr>
      <w:r>
        <w:rPr>
          <w:rFonts w:hint="eastAsia" w:ascii="仿宋" w:hAnsi="仿宋" w:eastAsia="仿宋"/>
          <w:sz w:val="28"/>
          <w:szCs w:val="28"/>
        </w:rPr>
        <w:t>二、维护清单</w:t>
      </w:r>
    </w:p>
    <w:tbl>
      <w:tblPr>
        <w:tblStyle w:val="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08" w:type="dxa"/>
          <w:bottom w:w="0" w:type="dxa"/>
          <w:right w:w="108" w:type="dxa"/>
        </w:tblCellMar>
      </w:tblPr>
      <w:tblGrid>
        <w:gridCol w:w="1216"/>
        <w:gridCol w:w="816"/>
        <w:gridCol w:w="2316"/>
        <w:gridCol w:w="2025"/>
        <w:gridCol w:w="21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490" w:hRule="atLeast"/>
        </w:trPr>
        <w:tc>
          <w:tcPr>
            <w:tcW w:w="713" w:type="pct"/>
            <w:shd w:val="clear" w:color="auto" w:fill="auto"/>
            <w:noWrap/>
            <w:vAlign w:val="center"/>
          </w:tcPr>
          <w:p>
            <w:pPr>
              <w:widowControl/>
              <w:jc w:val="center"/>
              <w:rPr>
                <w:rFonts w:hint="eastAsia" w:ascii="仿宋" w:hAnsi="仿宋" w:eastAsia="仿宋" w:cs="宋体"/>
                <w:kern w:val="0"/>
                <w:sz w:val="20"/>
                <w:szCs w:val="20"/>
                <w:lang w:val="en-US" w:eastAsia="zh-CN"/>
              </w:rPr>
            </w:pPr>
            <w:r>
              <w:rPr>
                <w:rFonts w:hint="eastAsia" w:ascii="仿宋" w:hAnsi="仿宋" w:eastAsia="仿宋" w:cs="宋体"/>
                <w:kern w:val="0"/>
                <w:sz w:val="20"/>
                <w:szCs w:val="20"/>
                <w:lang w:val="en-US" w:eastAsia="zh-CN"/>
              </w:rPr>
              <w:t>类型</w:t>
            </w:r>
          </w:p>
        </w:tc>
        <w:tc>
          <w:tcPr>
            <w:tcW w:w="478" w:type="pct"/>
            <w:shd w:val="clear" w:color="auto" w:fill="auto"/>
            <w:noWrap/>
            <w:vAlign w:val="center"/>
          </w:tcPr>
          <w:p>
            <w:pPr>
              <w:widowControl/>
              <w:jc w:val="center"/>
              <w:rPr>
                <w:rFonts w:hint="eastAsia" w:ascii="仿宋" w:hAnsi="仿宋" w:eastAsia="仿宋" w:cs="宋体"/>
                <w:kern w:val="0"/>
                <w:sz w:val="20"/>
                <w:szCs w:val="20"/>
                <w:lang w:val="en-US" w:eastAsia="zh-CN"/>
              </w:rPr>
            </w:pPr>
            <w:r>
              <w:rPr>
                <w:rFonts w:hint="eastAsia" w:ascii="仿宋" w:hAnsi="仿宋" w:eastAsia="仿宋" w:cs="宋体"/>
                <w:kern w:val="0"/>
                <w:sz w:val="20"/>
                <w:szCs w:val="20"/>
                <w:lang w:val="en-US" w:eastAsia="zh-CN"/>
              </w:rPr>
              <w:t>厂商</w:t>
            </w:r>
          </w:p>
        </w:tc>
        <w:tc>
          <w:tcPr>
            <w:tcW w:w="1359" w:type="pct"/>
            <w:shd w:val="clear" w:color="auto" w:fill="auto"/>
            <w:noWrap/>
            <w:vAlign w:val="center"/>
          </w:tcPr>
          <w:p>
            <w:pPr>
              <w:widowControl/>
              <w:jc w:val="center"/>
              <w:rPr>
                <w:rFonts w:hint="eastAsia" w:ascii="仿宋" w:hAnsi="仿宋" w:eastAsia="仿宋" w:cs="宋体"/>
                <w:kern w:val="0"/>
                <w:sz w:val="20"/>
                <w:szCs w:val="20"/>
                <w:lang w:val="en-US" w:eastAsia="zh-CN"/>
              </w:rPr>
            </w:pPr>
            <w:r>
              <w:rPr>
                <w:rFonts w:hint="eastAsia" w:ascii="仿宋" w:hAnsi="仿宋" w:eastAsia="仿宋" w:cs="宋体"/>
                <w:kern w:val="0"/>
                <w:sz w:val="20"/>
                <w:szCs w:val="20"/>
                <w:lang w:val="en-US" w:eastAsia="zh-CN"/>
              </w:rPr>
              <w:t>型号</w:t>
            </w:r>
          </w:p>
        </w:tc>
        <w:tc>
          <w:tcPr>
            <w:tcW w:w="1188" w:type="pct"/>
            <w:shd w:val="clear" w:color="auto" w:fill="auto"/>
            <w:noWrap/>
            <w:vAlign w:val="center"/>
          </w:tcPr>
          <w:p>
            <w:pPr>
              <w:widowControl/>
              <w:jc w:val="center"/>
              <w:rPr>
                <w:rFonts w:hint="eastAsia" w:ascii="仿宋" w:hAnsi="仿宋" w:eastAsia="仿宋" w:cs="宋体"/>
                <w:kern w:val="0"/>
                <w:sz w:val="20"/>
                <w:szCs w:val="20"/>
                <w:lang w:val="en-US" w:eastAsia="zh-CN"/>
              </w:rPr>
            </w:pPr>
            <w:r>
              <w:rPr>
                <w:rFonts w:hint="eastAsia" w:ascii="仿宋" w:hAnsi="仿宋" w:eastAsia="仿宋" w:cs="宋体"/>
                <w:kern w:val="0"/>
                <w:sz w:val="20"/>
                <w:szCs w:val="20"/>
                <w:lang w:val="en-US" w:eastAsia="zh-CN"/>
              </w:rPr>
              <w:t>数量</w:t>
            </w:r>
          </w:p>
        </w:tc>
        <w:tc>
          <w:tcPr>
            <w:tcW w:w="1259" w:type="pct"/>
            <w:shd w:val="clear" w:color="auto" w:fill="auto"/>
            <w:noWrap/>
            <w:vAlign w:val="center"/>
          </w:tcPr>
          <w:p>
            <w:pPr>
              <w:widowControl/>
              <w:jc w:val="center"/>
              <w:rPr>
                <w:rFonts w:hint="eastAsia" w:ascii="仿宋" w:hAnsi="仿宋" w:eastAsia="仿宋" w:cs="宋体"/>
                <w:kern w:val="0"/>
                <w:sz w:val="20"/>
                <w:szCs w:val="2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482" w:hRule="atLeast"/>
        </w:trPr>
        <w:tc>
          <w:tcPr>
            <w:tcW w:w="713" w:type="pct"/>
            <w:vMerge w:val="restart"/>
            <w:shd w:val="clear" w:color="auto" w:fill="auto"/>
            <w:noWrap/>
            <w:vAlign w:val="center"/>
          </w:tcPr>
          <w:p>
            <w:pPr>
              <w:widowControl/>
              <w:jc w:val="center"/>
              <w:rPr>
                <w:rFonts w:hint="eastAsia" w:ascii="仿宋" w:hAnsi="仿宋" w:eastAsia="仿宋" w:cs="宋体"/>
                <w:kern w:val="0"/>
                <w:sz w:val="20"/>
                <w:szCs w:val="20"/>
                <w:lang w:val="en-US" w:eastAsia="zh-CN"/>
              </w:rPr>
            </w:pPr>
            <w:r>
              <w:rPr>
                <w:rFonts w:hint="eastAsia" w:ascii="仿宋" w:hAnsi="仿宋" w:eastAsia="仿宋" w:cs="宋体"/>
                <w:kern w:val="0"/>
                <w:sz w:val="20"/>
                <w:szCs w:val="20"/>
                <w:lang w:val="en-US" w:eastAsia="zh-CN"/>
              </w:rPr>
              <w:t>分布式存储</w:t>
            </w:r>
          </w:p>
        </w:tc>
        <w:tc>
          <w:tcPr>
            <w:tcW w:w="478" w:type="pct"/>
            <w:vMerge w:val="restar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HUAWEI</w:t>
            </w:r>
          </w:p>
        </w:tc>
        <w:tc>
          <w:tcPr>
            <w:tcW w:w="1359" w:type="pct"/>
            <w:shd w:val="clear" w:color="auto" w:fill="auto"/>
            <w:noWrap/>
            <w:vAlign w:val="center"/>
          </w:tcPr>
          <w:p>
            <w:pPr>
              <w:widowControl/>
              <w:jc w:val="center"/>
              <w:rPr>
                <w:rFonts w:ascii="仿宋" w:hAnsi="仿宋" w:eastAsia="仿宋" w:cs="宋体"/>
                <w:kern w:val="0"/>
                <w:sz w:val="20"/>
                <w:szCs w:val="20"/>
              </w:rPr>
            </w:pPr>
            <w:r>
              <w:rPr>
                <w:rFonts w:hint="eastAsia" w:ascii="仿宋" w:hAnsi="仿宋" w:eastAsia="仿宋" w:cs="宋体"/>
                <w:kern w:val="0"/>
                <w:sz w:val="20"/>
                <w:szCs w:val="20"/>
              </w:rPr>
              <w:t>OceanStor 5110 V5</w:t>
            </w:r>
          </w:p>
        </w:tc>
        <w:tc>
          <w:tcPr>
            <w:tcW w:w="1188"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2</w:t>
            </w:r>
          </w:p>
        </w:tc>
        <w:tc>
          <w:tcPr>
            <w:tcW w:w="1259" w:type="pct"/>
            <w:shd w:val="clear" w:color="auto" w:fill="auto"/>
            <w:noWrap/>
            <w:vAlign w:val="center"/>
          </w:tcPr>
          <w:p>
            <w:pPr>
              <w:widowControl/>
              <w:jc w:val="center"/>
              <w:rPr>
                <w:rFonts w:hint="eastAsia" w:ascii="仿宋" w:hAnsi="仿宋" w:eastAsia="仿宋"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490" w:hRule="atLeast"/>
        </w:trPr>
        <w:tc>
          <w:tcPr>
            <w:tcW w:w="713" w:type="pct"/>
            <w:vMerge w:val="continue"/>
            <w:vAlign w:val="center"/>
          </w:tcPr>
          <w:p>
            <w:pPr>
              <w:widowControl/>
              <w:jc w:val="left"/>
              <w:rPr>
                <w:rFonts w:ascii="仿宋" w:hAnsi="仿宋" w:eastAsia="仿宋" w:cs="宋体"/>
                <w:kern w:val="0"/>
                <w:sz w:val="20"/>
                <w:szCs w:val="20"/>
              </w:rPr>
            </w:pPr>
          </w:p>
        </w:tc>
        <w:tc>
          <w:tcPr>
            <w:tcW w:w="478" w:type="pct"/>
            <w:vMerge w:val="continue"/>
            <w:vAlign w:val="center"/>
          </w:tcPr>
          <w:p>
            <w:pPr>
              <w:widowControl/>
              <w:jc w:val="left"/>
              <w:rPr>
                <w:rFonts w:ascii="仿宋" w:hAnsi="仿宋" w:eastAsia="仿宋" w:cs="宋体"/>
                <w:kern w:val="0"/>
                <w:sz w:val="20"/>
                <w:szCs w:val="20"/>
              </w:rPr>
            </w:pPr>
          </w:p>
        </w:tc>
        <w:tc>
          <w:tcPr>
            <w:tcW w:w="1359" w:type="pct"/>
            <w:shd w:val="clear" w:color="auto" w:fill="auto"/>
            <w:noWrap/>
            <w:vAlign w:val="center"/>
          </w:tcPr>
          <w:p>
            <w:pPr>
              <w:widowControl/>
              <w:jc w:val="center"/>
              <w:rPr>
                <w:rFonts w:ascii="仿宋" w:hAnsi="仿宋" w:eastAsia="仿宋" w:cs="宋体"/>
                <w:kern w:val="0"/>
                <w:sz w:val="20"/>
                <w:szCs w:val="20"/>
              </w:rPr>
            </w:pPr>
            <w:r>
              <w:rPr>
                <w:rFonts w:hint="eastAsia" w:ascii="仿宋" w:hAnsi="仿宋" w:eastAsia="仿宋" w:cs="宋体"/>
                <w:kern w:val="0"/>
                <w:sz w:val="20"/>
                <w:szCs w:val="20"/>
              </w:rPr>
              <w:t>OceanStor9000 V5 P12x</w:t>
            </w:r>
          </w:p>
        </w:tc>
        <w:tc>
          <w:tcPr>
            <w:tcW w:w="1188"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3</w:t>
            </w:r>
          </w:p>
        </w:tc>
        <w:tc>
          <w:tcPr>
            <w:tcW w:w="1259" w:type="pct"/>
            <w:shd w:val="clear" w:color="auto" w:fill="auto"/>
            <w:noWrap/>
            <w:vAlign w:val="center"/>
          </w:tcPr>
          <w:p>
            <w:pPr>
              <w:widowControl/>
              <w:jc w:val="center"/>
              <w:rPr>
                <w:rFonts w:hint="eastAsia" w:ascii="仿宋" w:hAnsi="仿宋" w:eastAsia="仿宋"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490" w:hRule="atLeast"/>
        </w:trPr>
        <w:tc>
          <w:tcPr>
            <w:tcW w:w="713" w:type="pct"/>
            <w:vMerge w:val="continue"/>
            <w:vAlign w:val="center"/>
          </w:tcPr>
          <w:p>
            <w:pPr>
              <w:widowControl/>
              <w:jc w:val="left"/>
              <w:rPr>
                <w:rFonts w:ascii="仿宋" w:hAnsi="仿宋" w:eastAsia="仿宋" w:cs="宋体"/>
                <w:kern w:val="0"/>
                <w:sz w:val="20"/>
                <w:szCs w:val="20"/>
              </w:rPr>
            </w:pPr>
          </w:p>
        </w:tc>
        <w:tc>
          <w:tcPr>
            <w:tcW w:w="478" w:type="pct"/>
            <w:vMerge w:val="continue"/>
            <w:vAlign w:val="center"/>
          </w:tcPr>
          <w:p>
            <w:pPr>
              <w:widowControl/>
              <w:jc w:val="left"/>
              <w:rPr>
                <w:rFonts w:ascii="仿宋" w:hAnsi="仿宋" w:eastAsia="仿宋" w:cs="宋体"/>
                <w:kern w:val="0"/>
                <w:sz w:val="20"/>
                <w:szCs w:val="20"/>
              </w:rPr>
            </w:pPr>
          </w:p>
        </w:tc>
        <w:tc>
          <w:tcPr>
            <w:tcW w:w="1359" w:type="pct"/>
            <w:shd w:val="clear" w:color="auto" w:fill="auto"/>
            <w:noWrap/>
            <w:vAlign w:val="center"/>
          </w:tcPr>
          <w:p>
            <w:pPr>
              <w:widowControl/>
              <w:jc w:val="center"/>
              <w:rPr>
                <w:rFonts w:ascii="仿宋" w:hAnsi="仿宋" w:eastAsia="仿宋" w:cs="宋体"/>
                <w:kern w:val="0"/>
                <w:sz w:val="20"/>
                <w:szCs w:val="20"/>
              </w:rPr>
            </w:pPr>
            <w:r>
              <w:rPr>
                <w:rFonts w:hint="eastAsia" w:ascii="仿宋" w:hAnsi="仿宋" w:eastAsia="仿宋" w:cs="宋体"/>
                <w:kern w:val="0"/>
                <w:sz w:val="20"/>
                <w:szCs w:val="20"/>
              </w:rPr>
              <w:t>N2000 V3</w:t>
            </w:r>
          </w:p>
        </w:tc>
        <w:tc>
          <w:tcPr>
            <w:tcW w:w="1188"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1</w:t>
            </w:r>
          </w:p>
        </w:tc>
        <w:tc>
          <w:tcPr>
            <w:tcW w:w="1259" w:type="pct"/>
            <w:shd w:val="clear" w:color="auto" w:fill="auto"/>
            <w:noWrap/>
            <w:vAlign w:val="center"/>
          </w:tcPr>
          <w:p>
            <w:pPr>
              <w:widowControl/>
              <w:jc w:val="center"/>
              <w:rPr>
                <w:rFonts w:hint="eastAsia" w:ascii="仿宋" w:hAnsi="仿宋" w:eastAsia="仿宋"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490" w:hRule="atLeast"/>
        </w:trPr>
        <w:tc>
          <w:tcPr>
            <w:tcW w:w="713" w:type="pct"/>
            <w:vMerge w:val="restart"/>
            <w:shd w:val="clear" w:color="auto" w:fill="auto"/>
            <w:noWrap/>
            <w:vAlign w:val="center"/>
          </w:tcPr>
          <w:p>
            <w:pPr>
              <w:widowControl/>
              <w:jc w:val="center"/>
              <w:rPr>
                <w:rFonts w:hint="eastAsia" w:ascii="仿宋" w:hAnsi="仿宋" w:eastAsia="仿宋" w:cs="宋体"/>
                <w:kern w:val="0"/>
                <w:sz w:val="20"/>
                <w:szCs w:val="20"/>
                <w:lang w:val="en-US" w:eastAsia="zh-CN"/>
              </w:rPr>
            </w:pPr>
            <w:r>
              <w:rPr>
                <w:rFonts w:hint="eastAsia" w:ascii="仿宋" w:hAnsi="仿宋" w:eastAsia="仿宋" w:cs="宋体"/>
                <w:kern w:val="0"/>
                <w:sz w:val="20"/>
                <w:szCs w:val="20"/>
                <w:lang w:val="en-US" w:eastAsia="zh-CN"/>
              </w:rPr>
              <w:t>服务器</w:t>
            </w:r>
          </w:p>
        </w:tc>
        <w:tc>
          <w:tcPr>
            <w:tcW w:w="478" w:type="pct"/>
            <w:vMerge w:val="restar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HUAWEI</w:t>
            </w:r>
          </w:p>
        </w:tc>
        <w:tc>
          <w:tcPr>
            <w:tcW w:w="1359" w:type="pct"/>
            <w:shd w:val="clear" w:color="auto" w:fill="auto"/>
            <w:noWrap/>
            <w:vAlign w:val="center"/>
          </w:tcPr>
          <w:p>
            <w:pPr>
              <w:widowControl/>
              <w:jc w:val="center"/>
              <w:rPr>
                <w:rFonts w:hint="eastAsia" w:ascii="仿宋" w:hAnsi="仿宋" w:eastAsia="仿宋" w:cs="宋体"/>
                <w:kern w:val="0"/>
                <w:sz w:val="20"/>
                <w:szCs w:val="20"/>
                <w:lang w:val="en-US" w:eastAsia="zh-CN" w:bidi="ar-SA"/>
              </w:rPr>
            </w:pPr>
            <w:r>
              <w:rPr>
                <w:rFonts w:hint="eastAsia" w:ascii="仿宋" w:hAnsi="仿宋" w:eastAsia="仿宋" w:cs="宋体"/>
                <w:kern w:val="0"/>
                <w:sz w:val="20"/>
                <w:szCs w:val="20"/>
              </w:rPr>
              <w:t>2488 V5</w:t>
            </w:r>
          </w:p>
        </w:tc>
        <w:tc>
          <w:tcPr>
            <w:tcW w:w="1188" w:type="pct"/>
            <w:shd w:val="clear" w:color="auto" w:fill="auto"/>
            <w:noWrap/>
            <w:vAlign w:val="center"/>
          </w:tcPr>
          <w:p>
            <w:pPr>
              <w:widowControl/>
              <w:jc w:val="center"/>
              <w:rPr>
                <w:rFonts w:hint="eastAsia" w:ascii="仿宋" w:hAnsi="仿宋" w:eastAsia="仿宋" w:cs="宋体"/>
                <w:kern w:val="0"/>
                <w:sz w:val="20"/>
                <w:szCs w:val="20"/>
                <w:lang w:val="en-US" w:eastAsia="zh-CN" w:bidi="ar-SA"/>
              </w:rPr>
            </w:pPr>
            <w:r>
              <w:rPr>
                <w:rFonts w:hint="eastAsia" w:ascii="仿宋" w:hAnsi="仿宋" w:eastAsia="仿宋" w:cs="宋体"/>
                <w:kern w:val="0"/>
                <w:sz w:val="20"/>
                <w:szCs w:val="20"/>
              </w:rPr>
              <w:t>8</w:t>
            </w:r>
          </w:p>
        </w:tc>
        <w:tc>
          <w:tcPr>
            <w:tcW w:w="1259" w:type="pct"/>
            <w:shd w:val="clear" w:color="auto" w:fill="auto"/>
            <w:noWrap/>
            <w:vAlign w:val="center"/>
          </w:tcPr>
          <w:p>
            <w:pPr>
              <w:widowControl/>
              <w:jc w:val="center"/>
              <w:rPr>
                <w:rFonts w:hint="eastAsia" w:ascii="仿宋" w:hAnsi="仿宋" w:eastAsia="仿宋"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490" w:hRule="atLeast"/>
        </w:trPr>
        <w:tc>
          <w:tcPr>
            <w:tcW w:w="713" w:type="pct"/>
            <w:vMerge w:val="continue"/>
            <w:shd w:val="clear" w:color="auto" w:fill="auto"/>
            <w:noWrap/>
            <w:vAlign w:val="center"/>
          </w:tcPr>
          <w:p>
            <w:pPr>
              <w:widowControl/>
              <w:jc w:val="center"/>
              <w:rPr>
                <w:rFonts w:hint="eastAsia" w:ascii="仿宋" w:hAnsi="仿宋" w:eastAsia="仿宋" w:cs="宋体"/>
                <w:kern w:val="0"/>
                <w:sz w:val="20"/>
                <w:szCs w:val="20"/>
                <w:lang w:val="en-US" w:eastAsia="zh-CN"/>
              </w:rPr>
            </w:pPr>
          </w:p>
        </w:tc>
        <w:tc>
          <w:tcPr>
            <w:tcW w:w="478" w:type="pct"/>
            <w:vMerge w:val="continue"/>
            <w:shd w:val="clear" w:color="auto" w:fill="auto"/>
            <w:noWrap/>
            <w:vAlign w:val="center"/>
          </w:tcPr>
          <w:p>
            <w:pPr>
              <w:widowControl/>
              <w:jc w:val="center"/>
              <w:rPr>
                <w:rFonts w:hint="eastAsia" w:ascii="仿宋" w:hAnsi="仿宋" w:eastAsia="仿宋" w:cs="宋体"/>
                <w:kern w:val="0"/>
                <w:sz w:val="20"/>
                <w:szCs w:val="20"/>
              </w:rPr>
            </w:pPr>
          </w:p>
        </w:tc>
        <w:tc>
          <w:tcPr>
            <w:tcW w:w="1359" w:type="pct"/>
            <w:shd w:val="clear" w:color="auto" w:fill="auto"/>
            <w:noWrap/>
            <w:vAlign w:val="center"/>
          </w:tcPr>
          <w:p>
            <w:pPr>
              <w:widowControl/>
              <w:jc w:val="center"/>
              <w:rPr>
                <w:rFonts w:hint="eastAsia" w:ascii="仿宋" w:hAnsi="仿宋" w:eastAsia="仿宋" w:cs="宋体"/>
                <w:kern w:val="0"/>
                <w:sz w:val="20"/>
                <w:szCs w:val="20"/>
                <w:lang w:val="en-US" w:eastAsia="zh-CN" w:bidi="ar-SA"/>
              </w:rPr>
            </w:pPr>
            <w:r>
              <w:rPr>
                <w:rFonts w:hint="eastAsia" w:ascii="仿宋" w:hAnsi="仿宋" w:eastAsia="仿宋" w:cs="宋体"/>
                <w:kern w:val="0"/>
                <w:sz w:val="20"/>
                <w:szCs w:val="20"/>
              </w:rPr>
              <w:t>5885H V5</w:t>
            </w:r>
          </w:p>
        </w:tc>
        <w:tc>
          <w:tcPr>
            <w:tcW w:w="1188" w:type="pct"/>
            <w:shd w:val="clear" w:color="auto" w:fill="auto"/>
            <w:noWrap/>
            <w:vAlign w:val="center"/>
          </w:tcPr>
          <w:p>
            <w:pPr>
              <w:widowControl/>
              <w:jc w:val="center"/>
              <w:rPr>
                <w:rFonts w:hint="eastAsia" w:ascii="仿宋" w:hAnsi="仿宋" w:eastAsia="仿宋" w:cs="宋体"/>
                <w:kern w:val="0"/>
                <w:sz w:val="20"/>
                <w:szCs w:val="20"/>
                <w:lang w:val="en-US" w:eastAsia="zh-CN" w:bidi="ar-SA"/>
              </w:rPr>
            </w:pPr>
            <w:r>
              <w:rPr>
                <w:rFonts w:hint="eastAsia" w:ascii="仿宋" w:hAnsi="仿宋" w:eastAsia="仿宋" w:cs="宋体"/>
                <w:kern w:val="0"/>
                <w:sz w:val="20"/>
                <w:szCs w:val="20"/>
              </w:rPr>
              <w:t>6</w:t>
            </w:r>
          </w:p>
        </w:tc>
        <w:tc>
          <w:tcPr>
            <w:tcW w:w="1259" w:type="pct"/>
            <w:shd w:val="clear" w:color="auto" w:fill="auto"/>
            <w:noWrap/>
            <w:vAlign w:val="center"/>
          </w:tcPr>
          <w:p>
            <w:pPr>
              <w:widowControl/>
              <w:jc w:val="center"/>
              <w:rPr>
                <w:rFonts w:hint="eastAsia" w:ascii="仿宋" w:hAnsi="仿宋" w:eastAsia="仿宋"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490" w:hRule="atLeast"/>
        </w:trPr>
        <w:tc>
          <w:tcPr>
            <w:tcW w:w="713" w:type="pct"/>
            <w:vMerge w:val="continue"/>
            <w:shd w:val="clear" w:color="auto" w:fill="auto"/>
            <w:noWrap/>
            <w:vAlign w:val="center"/>
          </w:tcPr>
          <w:p>
            <w:pPr>
              <w:widowControl/>
              <w:jc w:val="center"/>
              <w:rPr>
                <w:rFonts w:hint="eastAsia" w:ascii="仿宋" w:hAnsi="仿宋" w:eastAsia="仿宋" w:cs="宋体"/>
                <w:kern w:val="0"/>
                <w:sz w:val="20"/>
                <w:szCs w:val="20"/>
                <w:lang w:val="en-US" w:eastAsia="zh-CN"/>
              </w:rPr>
            </w:pPr>
          </w:p>
        </w:tc>
        <w:tc>
          <w:tcPr>
            <w:tcW w:w="478"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H3C</w:t>
            </w:r>
          </w:p>
        </w:tc>
        <w:tc>
          <w:tcPr>
            <w:tcW w:w="1359"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UNISERVER R4900 G3</w:t>
            </w:r>
          </w:p>
        </w:tc>
        <w:tc>
          <w:tcPr>
            <w:tcW w:w="1188"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7</w:t>
            </w:r>
          </w:p>
        </w:tc>
        <w:tc>
          <w:tcPr>
            <w:tcW w:w="1259" w:type="pct"/>
            <w:shd w:val="clear" w:color="auto" w:fill="auto"/>
            <w:noWrap/>
            <w:vAlign w:val="center"/>
          </w:tcPr>
          <w:p>
            <w:pPr>
              <w:widowControl/>
              <w:jc w:val="center"/>
              <w:rPr>
                <w:rFonts w:hint="eastAsia" w:ascii="仿宋" w:hAnsi="仿宋" w:eastAsia="仿宋"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490" w:hRule="atLeast"/>
        </w:trPr>
        <w:tc>
          <w:tcPr>
            <w:tcW w:w="713" w:type="pct"/>
            <w:vMerge w:val="continue"/>
            <w:shd w:val="clear" w:color="auto" w:fill="auto"/>
            <w:noWrap/>
            <w:vAlign w:val="center"/>
          </w:tcPr>
          <w:p>
            <w:pPr>
              <w:widowControl/>
              <w:jc w:val="center"/>
              <w:rPr>
                <w:rFonts w:hint="eastAsia" w:ascii="仿宋" w:hAnsi="仿宋" w:eastAsia="仿宋" w:cs="宋体"/>
                <w:kern w:val="0"/>
                <w:sz w:val="20"/>
                <w:szCs w:val="20"/>
              </w:rPr>
            </w:pPr>
          </w:p>
        </w:tc>
        <w:tc>
          <w:tcPr>
            <w:tcW w:w="478" w:type="pct"/>
            <w:vMerge w:val="restart"/>
            <w:shd w:val="clear" w:color="auto" w:fill="auto"/>
            <w:noWrap/>
            <w:vAlign w:val="center"/>
          </w:tcPr>
          <w:p>
            <w:pPr>
              <w:widowControl/>
              <w:jc w:val="center"/>
              <w:rPr>
                <w:rFonts w:ascii="仿宋" w:hAnsi="仿宋" w:eastAsia="仿宋" w:cs="宋体"/>
                <w:kern w:val="0"/>
                <w:sz w:val="20"/>
                <w:szCs w:val="20"/>
              </w:rPr>
            </w:pPr>
            <w:r>
              <w:rPr>
                <w:rFonts w:hint="eastAsia" w:ascii="仿宋" w:hAnsi="仿宋" w:eastAsia="仿宋" w:cs="宋体"/>
                <w:kern w:val="0"/>
                <w:sz w:val="20"/>
                <w:szCs w:val="20"/>
              </w:rPr>
              <w:t>HP</w:t>
            </w:r>
          </w:p>
        </w:tc>
        <w:tc>
          <w:tcPr>
            <w:tcW w:w="1359"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DL560Gen8</w:t>
            </w:r>
          </w:p>
        </w:tc>
        <w:tc>
          <w:tcPr>
            <w:tcW w:w="1188"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4</w:t>
            </w:r>
          </w:p>
        </w:tc>
        <w:tc>
          <w:tcPr>
            <w:tcW w:w="1259" w:type="pct"/>
            <w:shd w:val="clear" w:color="auto" w:fill="auto"/>
            <w:noWrap/>
            <w:vAlign w:val="center"/>
          </w:tcPr>
          <w:p>
            <w:pPr>
              <w:widowControl/>
              <w:jc w:val="center"/>
              <w:rPr>
                <w:rFonts w:hint="eastAsia" w:ascii="仿宋" w:hAnsi="仿宋" w:eastAsia="仿宋"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490" w:hRule="atLeast"/>
        </w:trPr>
        <w:tc>
          <w:tcPr>
            <w:tcW w:w="713" w:type="pct"/>
            <w:vMerge w:val="continue"/>
            <w:vAlign w:val="center"/>
          </w:tcPr>
          <w:p>
            <w:pPr>
              <w:widowControl/>
              <w:jc w:val="left"/>
              <w:rPr>
                <w:rFonts w:ascii="仿宋" w:hAnsi="仿宋" w:eastAsia="仿宋" w:cs="宋体"/>
                <w:kern w:val="0"/>
                <w:sz w:val="20"/>
                <w:szCs w:val="20"/>
              </w:rPr>
            </w:pPr>
          </w:p>
        </w:tc>
        <w:tc>
          <w:tcPr>
            <w:tcW w:w="478" w:type="pct"/>
            <w:vMerge w:val="continue"/>
            <w:vAlign w:val="center"/>
          </w:tcPr>
          <w:p>
            <w:pPr>
              <w:widowControl/>
              <w:jc w:val="left"/>
              <w:rPr>
                <w:rFonts w:ascii="仿宋" w:hAnsi="仿宋" w:eastAsia="仿宋" w:cs="宋体"/>
                <w:kern w:val="0"/>
                <w:sz w:val="20"/>
                <w:szCs w:val="20"/>
              </w:rPr>
            </w:pPr>
          </w:p>
        </w:tc>
        <w:tc>
          <w:tcPr>
            <w:tcW w:w="1359" w:type="pct"/>
            <w:shd w:val="clear" w:color="auto" w:fill="auto"/>
            <w:noWrap/>
            <w:vAlign w:val="center"/>
          </w:tcPr>
          <w:p>
            <w:pPr>
              <w:widowControl/>
              <w:jc w:val="center"/>
              <w:rPr>
                <w:rFonts w:ascii="仿宋" w:hAnsi="仿宋" w:eastAsia="仿宋" w:cs="宋体"/>
                <w:kern w:val="0"/>
                <w:sz w:val="20"/>
                <w:szCs w:val="20"/>
              </w:rPr>
            </w:pPr>
            <w:r>
              <w:rPr>
                <w:rFonts w:hint="eastAsia" w:ascii="仿宋" w:hAnsi="仿宋" w:eastAsia="仿宋" w:cs="宋体"/>
                <w:kern w:val="0"/>
                <w:sz w:val="20"/>
                <w:szCs w:val="20"/>
              </w:rPr>
              <w:t>ProLiant DL560Gen8</w:t>
            </w:r>
          </w:p>
        </w:tc>
        <w:tc>
          <w:tcPr>
            <w:tcW w:w="1188"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3</w:t>
            </w:r>
          </w:p>
        </w:tc>
        <w:tc>
          <w:tcPr>
            <w:tcW w:w="1259" w:type="pct"/>
            <w:shd w:val="clear" w:color="auto" w:fill="auto"/>
            <w:noWrap/>
            <w:vAlign w:val="center"/>
          </w:tcPr>
          <w:p>
            <w:pPr>
              <w:widowControl/>
              <w:jc w:val="center"/>
              <w:rPr>
                <w:rFonts w:hint="eastAsia" w:ascii="仿宋" w:hAnsi="仿宋" w:eastAsia="仿宋"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490" w:hRule="atLeast"/>
        </w:trPr>
        <w:tc>
          <w:tcPr>
            <w:tcW w:w="713" w:type="pct"/>
            <w:vMerge w:val="continue"/>
            <w:vAlign w:val="center"/>
          </w:tcPr>
          <w:p>
            <w:pPr>
              <w:widowControl/>
              <w:jc w:val="left"/>
              <w:rPr>
                <w:rFonts w:ascii="仿宋" w:hAnsi="仿宋" w:eastAsia="仿宋" w:cs="宋体"/>
                <w:kern w:val="0"/>
                <w:sz w:val="20"/>
                <w:szCs w:val="20"/>
              </w:rPr>
            </w:pPr>
          </w:p>
        </w:tc>
        <w:tc>
          <w:tcPr>
            <w:tcW w:w="478" w:type="pct"/>
            <w:vMerge w:val="continue"/>
            <w:vAlign w:val="center"/>
          </w:tcPr>
          <w:p>
            <w:pPr>
              <w:widowControl/>
              <w:jc w:val="left"/>
              <w:rPr>
                <w:rFonts w:ascii="仿宋" w:hAnsi="仿宋" w:eastAsia="仿宋" w:cs="宋体"/>
                <w:kern w:val="0"/>
                <w:sz w:val="20"/>
                <w:szCs w:val="20"/>
              </w:rPr>
            </w:pPr>
          </w:p>
        </w:tc>
        <w:tc>
          <w:tcPr>
            <w:tcW w:w="1359" w:type="pct"/>
            <w:shd w:val="clear" w:color="auto" w:fill="auto"/>
            <w:noWrap/>
            <w:vAlign w:val="center"/>
          </w:tcPr>
          <w:p>
            <w:pPr>
              <w:widowControl/>
              <w:jc w:val="center"/>
              <w:rPr>
                <w:rFonts w:ascii="仿宋" w:hAnsi="仿宋" w:eastAsia="仿宋" w:cs="宋体"/>
                <w:kern w:val="0"/>
                <w:sz w:val="20"/>
                <w:szCs w:val="20"/>
              </w:rPr>
            </w:pPr>
            <w:r>
              <w:rPr>
                <w:rFonts w:hint="eastAsia" w:ascii="仿宋" w:hAnsi="仿宋" w:eastAsia="仿宋" w:cs="宋体"/>
                <w:kern w:val="0"/>
                <w:sz w:val="20"/>
                <w:szCs w:val="20"/>
              </w:rPr>
              <w:t>proliant DL380Gen9</w:t>
            </w:r>
          </w:p>
        </w:tc>
        <w:tc>
          <w:tcPr>
            <w:tcW w:w="1188"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6</w:t>
            </w:r>
          </w:p>
        </w:tc>
        <w:tc>
          <w:tcPr>
            <w:tcW w:w="1259" w:type="pct"/>
            <w:shd w:val="clear" w:color="auto" w:fill="auto"/>
            <w:noWrap/>
            <w:vAlign w:val="center"/>
          </w:tcPr>
          <w:p>
            <w:pPr>
              <w:widowControl/>
              <w:jc w:val="center"/>
              <w:rPr>
                <w:rFonts w:hint="eastAsia" w:ascii="仿宋" w:hAnsi="仿宋" w:eastAsia="仿宋"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490" w:hRule="atLeast"/>
        </w:trPr>
        <w:tc>
          <w:tcPr>
            <w:tcW w:w="713" w:type="pct"/>
            <w:vMerge w:val="continue"/>
            <w:shd w:val="clear" w:color="auto" w:fill="auto"/>
            <w:noWrap/>
            <w:vAlign w:val="center"/>
          </w:tcPr>
          <w:p>
            <w:pPr>
              <w:widowControl/>
              <w:jc w:val="center"/>
              <w:rPr>
                <w:rFonts w:hint="eastAsia" w:ascii="仿宋" w:hAnsi="仿宋" w:eastAsia="仿宋" w:cs="宋体"/>
                <w:kern w:val="0"/>
                <w:sz w:val="20"/>
                <w:szCs w:val="20"/>
              </w:rPr>
            </w:pPr>
          </w:p>
        </w:tc>
        <w:tc>
          <w:tcPr>
            <w:tcW w:w="478" w:type="pct"/>
            <w:shd w:val="clear" w:color="auto" w:fill="auto"/>
            <w:noWrap/>
            <w:vAlign w:val="center"/>
          </w:tcPr>
          <w:p>
            <w:pPr>
              <w:widowControl/>
              <w:jc w:val="center"/>
              <w:rPr>
                <w:rFonts w:ascii="仿宋" w:hAnsi="仿宋" w:eastAsia="仿宋" w:cs="宋体"/>
                <w:kern w:val="0"/>
                <w:sz w:val="20"/>
                <w:szCs w:val="20"/>
              </w:rPr>
            </w:pPr>
            <w:r>
              <w:rPr>
                <w:rFonts w:hint="eastAsia" w:ascii="仿宋" w:hAnsi="仿宋" w:eastAsia="仿宋" w:cs="宋体"/>
                <w:kern w:val="0"/>
                <w:sz w:val="20"/>
                <w:szCs w:val="20"/>
              </w:rPr>
              <w:t>Dell</w:t>
            </w:r>
          </w:p>
        </w:tc>
        <w:tc>
          <w:tcPr>
            <w:tcW w:w="1359"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R940xa</w:t>
            </w:r>
          </w:p>
        </w:tc>
        <w:tc>
          <w:tcPr>
            <w:tcW w:w="1188"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6</w:t>
            </w:r>
          </w:p>
        </w:tc>
        <w:tc>
          <w:tcPr>
            <w:tcW w:w="1259" w:type="pct"/>
            <w:shd w:val="clear" w:color="auto" w:fill="auto"/>
            <w:noWrap/>
            <w:vAlign w:val="center"/>
          </w:tcPr>
          <w:p>
            <w:pPr>
              <w:widowControl/>
              <w:jc w:val="center"/>
              <w:rPr>
                <w:rFonts w:hint="eastAsia" w:ascii="仿宋" w:hAnsi="仿宋" w:eastAsia="仿宋"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490" w:hRule="atLeast"/>
        </w:trPr>
        <w:tc>
          <w:tcPr>
            <w:tcW w:w="713" w:type="pct"/>
            <w:vMerge w:val="continue"/>
            <w:shd w:val="clear" w:color="auto" w:fill="auto"/>
            <w:noWrap/>
            <w:vAlign w:val="center"/>
          </w:tcPr>
          <w:p>
            <w:pPr>
              <w:widowControl/>
              <w:jc w:val="center"/>
              <w:rPr>
                <w:rFonts w:hint="eastAsia" w:ascii="仿宋" w:hAnsi="仿宋" w:eastAsia="仿宋" w:cs="宋体"/>
                <w:kern w:val="0"/>
                <w:sz w:val="20"/>
                <w:szCs w:val="20"/>
              </w:rPr>
            </w:pPr>
          </w:p>
        </w:tc>
        <w:tc>
          <w:tcPr>
            <w:tcW w:w="478" w:type="pct"/>
            <w:shd w:val="clear" w:color="auto" w:fill="auto"/>
            <w:noWrap/>
            <w:vAlign w:val="center"/>
          </w:tcPr>
          <w:p>
            <w:pPr>
              <w:widowControl/>
              <w:jc w:val="center"/>
              <w:rPr>
                <w:rFonts w:ascii="仿宋" w:hAnsi="仿宋" w:eastAsia="仿宋" w:cs="宋体"/>
                <w:kern w:val="0"/>
                <w:sz w:val="20"/>
                <w:szCs w:val="20"/>
              </w:rPr>
            </w:pPr>
            <w:r>
              <w:rPr>
                <w:rFonts w:hint="eastAsia" w:ascii="仿宋" w:hAnsi="仿宋" w:eastAsia="仿宋" w:cs="宋体"/>
                <w:kern w:val="0"/>
                <w:sz w:val="20"/>
                <w:szCs w:val="20"/>
              </w:rPr>
              <w:t>Lenovo</w:t>
            </w:r>
          </w:p>
        </w:tc>
        <w:tc>
          <w:tcPr>
            <w:tcW w:w="1359"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X3650 M5</w:t>
            </w:r>
          </w:p>
        </w:tc>
        <w:tc>
          <w:tcPr>
            <w:tcW w:w="1188"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3</w:t>
            </w:r>
          </w:p>
        </w:tc>
        <w:tc>
          <w:tcPr>
            <w:tcW w:w="1259" w:type="pct"/>
            <w:shd w:val="clear" w:color="auto" w:fill="auto"/>
            <w:noWrap/>
            <w:vAlign w:val="center"/>
          </w:tcPr>
          <w:p>
            <w:pPr>
              <w:widowControl/>
              <w:jc w:val="center"/>
              <w:rPr>
                <w:rFonts w:hint="eastAsia" w:ascii="仿宋" w:hAnsi="仿宋" w:eastAsia="仿宋"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490" w:hRule="atLeast"/>
        </w:trPr>
        <w:tc>
          <w:tcPr>
            <w:tcW w:w="713" w:type="pct"/>
            <w:vMerge w:val="restart"/>
            <w:shd w:val="clear" w:color="auto" w:fill="auto"/>
            <w:noWrap/>
            <w:vAlign w:val="center"/>
          </w:tcPr>
          <w:p>
            <w:pPr>
              <w:widowControl/>
              <w:jc w:val="center"/>
              <w:rPr>
                <w:rFonts w:hint="eastAsia" w:ascii="仿宋" w:hAnsi="仿宋" w:eastAsia="仿宋" w:cs="宋体"/>
                <w:kern w:val="0"/>
                <w:sz w:val="20"/>
                <w:szCs w:val="20"/>
                <w:lang w:val="en-US" w:eastAsia="zh-CN"/>
              </w:rPr>
            </w:pPr>
            <w:r>
              <w:rPr>
                <w:rFonts w:hint="eastAsia" w:ascii="仿宋" w:hAnsi="仿宋" w:eastAsia="仿宋" w:cs="宋体"/>
                <w:kern w:val="0"/>
                <w:sz w:val="20"/>
                <w:szCs w:val="20"/>
                <w:lang w:val="en-US" w:eastAsia="zh-CN"/>
              </w:rPr>
              <w:t>存储</w:t>
            </w:r>
          </w:p>
        </w:tc>
        <w:tc>
          <w:tcPr>
            <w:tcW w:w="478" w:type="pct"/>
            <w:vMerge w:val="restart"/>
            <w:shd w:val="clear" w:color="auto" w:fill="auto"/>
            <w:noWrap/>
            <w:vAlign w:val="center"/>
          </w:tcPr>
          <w:p>
            <w:pPr>
              <w:widowControl/>
              <w:jc w:val="center"/>
              <w:rPr>
                <w:rFonts w:ascii="仿宋" w:hAnsi="仿宋" w:eastAsia="仿宋" w:cs="宋体"/>
                <w:kern w:val="0"/>
                <w:sz w:val="20"/>
                <w:szCs w:val="20"/>
              </w:rPr>
            </w:pPr>
            <w:r>
              <w:rPr>
                <w:rFonts w:hint="eastAsia" w:ascii="仿宋" w:hAnsi="仿宋" w:eastAsia="仿宋" w:cs="宋体"/>
                <w:kern w:val="0"/>
                <w:sz w:val="20"/>
                <w:szCs w:val="20"/>
              </w:rPr>
              <w:t>IBM</w:t>
            </w:r>
          </w:p>
        </w:tc>
        <w:tc>
          <w:tcPr>
            <w:tcW w:w="1359"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Storage DS5020</w:t>
            </w:r>
          </w:p>
        </w:tc>
        <w:tc>
          <w:tcPr>
            <w:tcW w:w="1188"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1</w:t>
            </w:r>
          </w:p>
        </w:tc>
        <w:tc>
          <w:tcPr>
            <w:tcW w:w="1259" w:type="pct"/>
            <w:shd w:val="clear" w:color="auto" w:fill="auto"/>
            <w:noWrap/>
            <w:vAlign w:val="center"/>
          </w:tcPr>
          <w:p>
            <w:pPr>
              <w:widowControl/>
              <w:jc w:val="center"/>
              <w:rPr>
                <w:rFonts w:hint="eastAsia" w:ascii="仿宋" w:hAnsi="仿宋" w:eastAsia="仿宋"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490" w:hRule="atLeast"/>
        </w:trPr>
        <w:tc>
          <w:tcPr>
            <w:tcW w:w="713" w:type="pct"/>
            <w:vMerge w:val="continue"/>
            <w:vAlign w:val="center"/>
          </w:tcPr>
          <w:p>
            <w:pPr>
              <w:widowControl/>
              <w:jc w:val="left"/>
              <w:rPr>
                <w:rFonts w:ascii="仿宋" w:hAnsi="仿宋" w:eastAsia="仿宋" w:cs="宋体"/>
                <w:kern w:val="0"/>
                <w:sz w:val="20"/>
                <w:szCs w:val="20"/>
              </w:rPr>
            </w:pPr>
          </w:p>
        </w:tc>
        <w:tc>
          <w:tcPr>
            <w:tcW w:w="478" w:type="pct"/>
            <w:vMerge w:val="continue"/>
            <w:vAlign w:val="center"/>
          </w:tcPr>
          <w:p>
            <w:pPr>
              <w:widowControl/>
              <w:jc w:val="left"/>
              <w:rPr>
                <w:rFonts w:ascii="仿宋" w:hAnsi="仿宋" w:eastAsia="仿宋" w:cs="宋体"/>
                <w:kern w:val="0"/>
                <w:sz w:val="20"/>
                <w:szCs w:val="20"/>
              </w:rPr>
            </w:pPr>
          </w:p>
        </w:tc>
        <w:tc>
          <w:tcPr>
            <w:tcW w:w="1359"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2498-B24</w:t>
            </w:r>
          </w:p>
        </w:tc>
        <w:tc>
          <w:tcPr>
            <w:tcW w:w="1188"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1</w:t>
            </w:r>
          </w:p>
        </w:tc>
        <w:tc>
          <w:tcPr>
            <w:tcW w:w="1259" w:type="pct"/>
            <w:shd w:val="clear" w:color="auto" w:fill="auto"/>
            <w:noWrap/>
            <w:vAlign w:val="center"/>
          </w:tcPr>
          <w:p>
            <w:pPr>
              <w:widowControl/>
              <w:jc w:val="center"/>
              <w:rPr>
                <w:rFonts w:hint="eastAsia" w:ascii="仿宋" w:hAnsi="仿宋" w:eastAsia="仿宋"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490" w:hRule="atLeast"/>
        </w:trPr>
        <w:tc>
          <w:tcPr>
            <w:tcW w:w="713" w:type="pct"/>
            <w:vMerge w:val="continue"/>
            <w:vAlign w:val="center"/>
          </w:tcPr>
          <w:p>
            <w:pPr>
              <w:widowControl/>
              <w:jc w:val="left"/>
              <w:rPr>
                <w:rFonts w:ascii="仿宋" w:hAnsi="仿宋" w:eastAsia="仿宋" w:cs="宋体"/>
                <w:kern w:val="0"/>
                <w:sz w:val="20"/>
                <w:szCs w:val="20"/>
              </w:rPr>
            </w:pPr>
          </w:p>
        </w:tc>
        <w:tc>
          <w:tcPr>
            <w:tcW w:w="478" w:type="pct"/>
            <w:vMerge w:val="continue"/>
            <w:vAlign w:val="center"/>
          </w:tcPr>
          <w:p>
            <w:pPr>
              <w:widowControl/>
              <w:jc w:val="left"/>
              <w:rPr>
                <w:rFonts w:ascii="仿宋" w:hAnsi="仿宋" w:eastAsia="仿宋" w:cs="宋体"/>
                <w:kern w:val="0"/>
                <w:sz w:val="20"/>
                <w:szCs w:val="20"/>
              </w:rPr>
            </w:pPr>
          </w:p>
        </w:tc>
        <w:tc>
          <w:tcPr>
            <w:tcW w:w="1359"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Storage N3300</w:t>
            </w:r>
          </w:p>
        </w:tc>
        <w:tc>
          <w:tcPr>
            <w:tcW w:w="1188"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2</w:t>
            </w:r>
          </w:p>
        </w:tc>
        <w:tc>
          <w:tcPr>
            <w:tcW w:w="1259" w:type="pct"/>
            <w:shd w:val="clear" w:color="auto" w:fill="auto"/>
            <w:noWrap/>
            <w:vAlign w:val="center"/>
          </w:tcPr>
          <w:p>
            <w:pPr>
              <w:widowControl/>
              <w:jc w:val="center"/>
              <w:rPr>
                <w:rFonts w:hint="eastAsia" w:ascii="仿宋" w:hAnsi="仿宋" w:eastAsia="仿宋"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490" w:hRule="atLeast"/>
        </w:trPr>
        <w:tc>
          <w:tcPr>
            <w:tcW w:w="713" w:type="pct"/>
            <w:vAlign w:val="center"/>
          </w:tcPr>
          <w:p>
            <w:pPr>
              <w:widowControl/>
              <w:jc w:val="center"/>
              <w:rPr>
                <w:rFonts w:ascii="仿宋" w:hAnsi="仿宋" w:eastAsia="仿宋" w:cs="宋体"/>
                <w:kern w:val="0"/>
                <w:sz w:val="20"/>
                <w:szCs w:val="20"/>
              </w:rPr>
            </w:pPr>
            <w:r>
              <w:rPr>
                <w:rFonts w:hint="eastAsia" w:ascii="仿宋" w:hAnsi="仿宋" w:eastAsia="仿宋" w:cs="宋体"/>
                <w:kern w:val="0"/>
                <w:sz w:val="20"/>
                <w:szCs w:val="20"/>
                <w:lang w:val="en-US" w:eastAsia="zh-CN"/>
              </w:rPr>
              <w:t>服务器</w:t>
            </w:r>
          </w:p>
        </w:tc>
        <w:tc>
          <w:tcPr>
            <w:tcW w:w="478" w:type="pct"/>
            <w:vMerge w:val="continue"/>
            <w:vAlign w:val="center"/>
          </w:tcPr>
          <w:p>
            <w:pPr>
              <w:widowControl/>
              <w:jc w:val="left"/>
              <w:rPr>
                <w:rFonts w:ascii="仿宋" w:hAnsi="仿宋" w:eastAsia="仿宋" w:cs="宋体"/>
                <w:kern w:val="0"/>
                <w:sz w:val="20"/>
                <w:szCs w:val="20"/>
              </w:rPr>
            </w:pPr>
          </w:p>
        </w:tc>
        <w:tc>
          <w:tcPr>
            <w:tcW w:w="1359" w:type="pct"/>
            <w:shd w:val="clear" w:color="auto" w:fill="auto"/>
            <w:noWrap/>
            <w:vAlign w:val="center"/>
          </w:tcPr>
          <w:p>
            <w:pPr>
              <w:widowControl/>
              <w:jc w:val="center"/>
              <w:rPr>
                <w:rFonts w:ascii="仿宋" w:hAnsi="仿宋" w:eastAsia="仿宋" w:cs="宋体"/>
                <w:kern w:val="0"/>
                <w:sz w:val="20"/>
                <w:szCs w:val="20"/>
              </w:rPr>
            </w:pPr>
            <w:r>
              <w:rPr>
                <w:rFonts w:hint="eastAsia" w:ascii="仿宋" w:hAnsi="仿宋" w:eastAsia="仿宋" w:cs="宋体"/>
                <w:kern w:val="0"/>
                <w:sz w:val="20"/>
                <w:szCs w:val="20"/>
              </w:rPr>
              <w:t>X3650 M5</w:t>
            </w:r>
          </w:p>
        </w:tc>
        <w:tc>
          <w:tcPr>
            <w:tcW w:w="1188"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1</w:t>
            </w:r>
          </w:p>
        </w:tc>
        <w:tc>
          <w:tcPr>
            <w:tcW w:w="1259" w:type="pct"/>
            <w:shd w:val="clear" w:color="auto" w:fill="auto"/>
            <w:noWrap/>
            <w:vAlign w:val="center"/>
          </w:tcPr>
          <w:p>
            <w:pPr>
              <w:widowControl/>
              <w:jc w:val="center"/>
              <w:rPr>
                <w:rFonts w:hint="eastAsia" w:ascii="仿宋" w:hAnsi="仿宋" w:eastAsia="仿宋"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490" w:hRule="atLeast"/>
        </w:trPr>
        <w:tc>
          <w:tcPr>
            <w:tcW w:w="713" w:type="pct"/>
            <w:vMerge w:val="restar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lang w:val="en-US" w:eastAsia="zh-CN"/>
              </w:rPr>
              <w:t>存储</w:t>
            </w:r>
          </w:p>
        </w:tc>
        <w:tc>
          <w:tcPr>
            <w:tcW w:w="478" w:type="pct"/>
            <w:vMerge w:val="restar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EMC</w:t>
            </w:r>
          </w:p>
        </w:tc>
        <w:tc>
          <w:tcPr>
            <w:tcW w:w="1359"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VNX5400</w:t>
            </w:r>
          </w:p>
        </w:tc>
        <w:tc>
          <w:tcPr>
            <w:tcW w:w="1188"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2</w:t>
            </w:r>
          </w:p>
        </w:tc>
        <w:tc>
          <w:tcPr>
            <w:tcW w:w="1259" w:type="pct"/>
            <w:shd w:val="clear" w:color="auto" w:fill="auto"/>
            <w:noWrap/>
            <w:vAlign w:val="center"/>
          </w:tcPr>
          <w:p>
            <w:pPr>
              <w:widowControl/>
              <w:jc w:val="center"/>
              <w:rPr>
                <w:rFonts w:hint="eastAsia" w:ascii="仿宋" w:hAnsi="仿宋" w:eastAsia="仿宋"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490" w:hRule="atLeast"/>
        </w:trPr>
        <w:tc>
          <w:tcPr>
            <w:tcW w:w="713" w:type="pct"/>
            <w:vMerge w:val="continue"/>
            <w:vAlign w:val="center"/>
          </w:tcPr>
          <w:p>
            <w:pPr>
              <w:widowControl/>
              <w:jc w:val="left"/>
              <w:rPr>
                <w:rFonts w:ascii="仿宋" w:hAnsi="仿宋" w:eastAsia="仿宋" w:cs="宋体"/>
                <w:kern w:val="0"/>
                <w:sz w:val="20"/>
                <w:szCs w:val="20"/>
              </w:rPr>
            </w:pPr>
          </w:p>
        </w:tc>
        <w:tc>
          <w:tcPr>
            <w:tcW w:w="478" w:type="pct"/>
            <w:vMerge w:val="continue"/>
            <w:vAlign w:val="center"/>
          </w:tcPr>
          <w:p>
            <w:pPr>
              <w:widowControl/>
              <w:jc w:val="left"/>
              <w:rPr>
                <w:rFonts w:ascii="仿宋" w:hAnsi="仿宋" w:eastAsia="仿宋" w:cs="宋体"/>
                <w:kern w:val="0"/>
                <w:sz w:val="20"/>
                <w:szCs w:val="20"/>
              </w:rPr>
            </w:pPr>
          </w:p>
        </w:tc>
        <w:tc>
          <w:tcPr>
            <w:tcW w:w="1359" w:type="pct"/>
            <w:shd w:val="clear" w:color="auto" w:fill="auto"/>
            <w:noWrap/>
            <w:vAlign w:val="center"/>
          </w:tcPr>
          <w:p>
            <w:pPr>
              <w:widowControl/>
              <w:jc w:val="center"/>
              <w:rPr>
                <w:rFonts w:ascii="仿宋" w:hAnsi="仿宋" w:eastAsia="仿宋" w:cs="宋体"/>
                <w:kern w:val="0"/>
                <w:sz w:val="20"/>
                <w:szCs w:val="20"/>
              </w:rPr>
            </w:pPr>
            <w:r>
              <w:rPr>
                <w:rFonts w:hint="eastAsia" w:ascii="仿宋" w:hAnsi="仿宋" w:eastAsia="仿宋" w:cs="宋体"/>
                <w:kern w:val="0"/>
                <w:sz w:val="20"/>
                <w:szCs w:val="20"/>
              </w:rPr>
              <w:t>DS5100B</w:t>
            </w:r>
          </w:p>
        </w:tc>
        <w:tc>
          <w:tcPr>
            <w:tcW w:w="1188"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4</w:t>
            </w:r>
          </w:p>
        </w:tc>
        <w:tc>
          <w:tcPr>
            <w:tcW w:w="1259" w:type="pct"/>
            <w:shd w:val="clear" w:color="auto" w:fill="auto"/>
            <w:noWrap/>
            <w:vAlign w:val="center"/>
          </w:tcPr>
          <w:p>
            <w:pPr>
              <w:widowControl/>
              <w:jc w:val="center"/>
              <w:rPr>
                <w:rFonts w:hint="eastAsia" w:ascii="仿宋" w:hAnsi="仿宋" w:eastAsia="仿宋"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490" w:hRule="atLeast"/>
        </w:trPr>
        <w:tc>
          <w:tcPr>
            <w:tcW w:w="713" w:type="pct"/>
            <w:vMerge w:val="continue"/>
            <w:vAlign w:val="center"/>
          </w:tcPr>
          <w:p>
            <w:pPr>
              <w:widowControl/>
              <w:jc w:val="left"/>
              <w:rPr>
                <w:rFonts w:ascii="仿宋" w:hAnsi="仿宋" w:eastAsia="仿宋" w:cs="宋体"/>
                <w:kern w:val="0"/>
                <w:sz w:val="20"/>
                <w:szCs w:val="20"/>
              </w:rPr>
            </w:pPr>
          </w:p>
        </w:tc>
        <w:tc>
          <w:tcPr>
            <w:tcW w:w="478" w:type="pct"/>
            <w:vMerge w:val="continue"/>
            <w:vAlign w:val="center"/>
          </w:tcPr>
          <w:p>
            <w:pPr>
              <w:widowControl/>
              <w:jc w:val="left"/>
              <w:rPr>
                <w:rFonts w:ascii="仿宋" w:hAnsi="仿宋" w:eastAsia="仿宋" w:cs="宋体"/>
                <w:kern w:val="0"/>
                <w:sz w:val="20"/>
                <w:szCs w:val="20"/>
              </w:rPr>
            </w:pPr>
          </w:p>
        </w:tc>
        <w:tc>
          <w:tcPr>
            <w:tcW w:w="1359" w:type="pct"/>
            <w:shd w:val="clear" w:color="auto" w:fill="auto"/>
            <w:noWrap/>
            <w:vAlign w:val="center"/>
          </w:tcPr>
          <w:p>
            <w:pPr>
              <w:widowControl/>
              <w:jc w:val="center"/>
              <w:rPr>
                <w:rFonts w:ascii="仿宋" w:hAnsi="仿宋" w:eastAsia="仿宋" w:cs="宋体"/>
                <w:kern w:val="0"/>
                <w:sz w:val="20"/>
                <w:szCs w:val="20"/>
              </w:rPr>
            </w:pPr>
            <w:r>
              <w:rPr>
                <w:rFonts w:hint="eastAsia" w:ascii="仿宋" w:hAnsi="仿宋" w:eastAsia="仿宋" w:cs="宋体"/>
                <w:kern w:val="0"/>
                <w:sz w:val="20"/>
                <w:szCs w:val="20"/>
              </w:rPr>
              <w:t>VPLEX VS2</w:t>
            </w:r>
          </w:p>
        </w:tc>
        <w:tc>
          <w:tcPr>
            <w:tcW w:w="1188"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2</w:t>
            </w:r>
          </w:p>
        </w:tc>
        <w:tc>
          <w:tcPr>
            <w:tcW w:w="1259" w:type="pct"/>
            <w:shd w:val="clear" w:color="auto" w:fill="auto"/>
            <w:noWrap/>
            <w:vAlign w:val="center"/>
          </w:tcPr>
          <w:p>
            <w:pPr>
              <w:widowControl/>
              <w:jc w:val="center"/>
              <w:rPr>
                <w:rFonts w:hint="eastAsia" w:ascii="仿宋" w:hAnsi="仿宋" w:eastAsia="仿宋"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490" w:hRule="atLeast"/>
        </w:trPr>
        <w:tc>
          <w:tcPr>
            <w:tcW w:w="713" w:type="pct"/>
            <w:vAlign w:val="center"/>
          </w:tcPr>
          <w:p>
            <w:pPr>
              <w:widowControl/>
              <w:jc w:val="left"/>
              <w:rPr>
                <w:rFonts w:ascii="仿宋" w:hAnsi="仿宋" w:eastAsia="仿宋" w:cs="宋体"/>
                <w:kern w:val="0"/>
                <w:sz w:val="20"/>
                <w:szCs w:val="20"/>
              </w:rPr>
            </w:pPr>
          </w:p>
        </w:tc>
        <w:tc>
          <w:tcPr>
            <w:tcW w:w="478" w:type="pct"/>
            <w:vMerge w:val="continue"/>
            <w:vAlign w:val="center"/>
          </w:tcPr>
          <w:p>
            <w:pPr>
              <w:widowControl/>
              <w:jc w:val="left"/>
              <w:rPr>
                <w:rFonts w:ascii="仿宋" w:hAnsi="仿宋" w:eastAsia="仿宋" w:cs="宋体"/>
                <w:kern w:val="0"/>
                <w:sz w:val="20"/>
                <w:szCs w:val="20"/>
              </w:rPr>
            </w:pPr>
          </w:p>
        </w:tc>
        <w:tc>
          <w:tcPr>
            <w:tcW w:w="1359" w:type="pct"/>
            <w:shd w:val="clear" w:color="auto" w:fill="auto"/>
            <w:noWrap/>
            <w:vAlign w:val="center"/>
          </w:tcPr>
          <w:p>
            <w:pPr>
              <w:widowControl/>
              <w:jc w:val="center"/>
              <w:rPr>
                <w:rFonts w:ascii="仿宋" w:hAnsi="仿宋" w:eastAsia="仿宋" w:cs="宋体"/>
                <w:kern w:val="0"/>
                <w:sz w:val="20"/>
                <w:szCs w:val="20"/>
              </w:rPr>
            </w:pPr>
            <w:r>
              <w:rPr>
                <w:rFonts w:hint="eastAsia" w:ascii="仿宋" w:hAnsi="仿宋" w:eastAsia="仿宋" w:cs="宋体"/>
                <w:kern w:val="0"/>
                <w:sz w:val="20"/>
                <w:szCs w:val="20"/>
              </w:rPr>
              <w:t>RPA gen5</w:t>
            </w:r>
          </w:p>
        </w:tc>
        <w:tc>
          <w:tcPr>
            <w:tcW w:w="1188" w:type="pct"/>
            <w:shd w:val="clear" w:color="auto" w:fill="auto"/>
            <w:noWrap/>
            <w:vAlign w:val="center"/>
          </w:tcPr>
          <w:p>
            <w:pPr>
              <w:widowControl/>
              <w:jc w:val="center"/>
              <w:rPr>
                <w:rFonts w:hint="eastAsia" w:ascii="仿宋" w:hAnsi="仿宋" w:eastAsia="仿宋" w:cs="宋体"/>
                <w:kern w:val="0"/>
                <w:sz w:val="20"/>
                <w:szCs w:val="20"/>
              </w:rPr>
            </w:pPr>
            <w:r>
              <w:rPr>
                <w:rFonts w:hint="eastAsia" w:ascii="仿宋" w:hAnsi="仿宋" w:eastAsia="仿宋" w:cs="宋体"/>
                <w:kern w:val="0"/>
                <w:sz w:val="20"/>
                <w:szCs w:val="20"/>
              </w:rPr>
              <w:t>2</w:t>
            </w:r>
          </w:p>
        </w:tc>
        <w:tc>
          <w:tcPr>
            <w:tcW w:w="1259" w:type="pct"/>
            <w:shd w:val="clear" w:color="auto" w:fill="auto"/>
            <w:noWrap/>
            <w:vAlign w:val="center"/>
          </w:tcPr>
          <w:p>
            <w:pPr>
              <w:widowControl/>
              <w:jc w:val="center"/>
              <w:rPr>
                <w:rFonts w:hint="eastAsia" w:ascii="仿宋" w:hAnsi="仿宋" w:eastAsia="仿宋"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490" w:hRule="atLeast"/>
        </w:trPr>
        <w:tc>
          <w:tcPr>
            <w:tcW w:w="713" w:type="pct"/>
            <w:vAlign w:val="center"/>
          </w:tcPr>
          <w:p>
            <w:pPr>
              <w:widowControl/>
              <w:jc w:val="left"/>
              <w:rPr>
                <w:rFonts w:hint="default" w:ascii="仿宋" w:hAnsi="仿宋" w:eastAsia="仿宋" w:cs="宋体"/>
                <w:kern w:val="0"/>
                <w:sz w:val="20"/>
                <w:szCs w:val="20"/>
                <w:lang w:val="en-US" w:eastAsia="zh-CN"/>
              </w:rPr>
            </w:pPr>
            <w:r>
              <w:rPr>
                <w:rFonts w:hint="eastAsia" w:ascii="仿宋" w:hAnsi="仿宋" w:eastAsia="仿宋" w:cs="宋体"/>
                <w:kern w:val="0"/>
                <w:sz w:val="20"/>
                <w:szCs w:val="20"/>
                <w:lang w:val="en-US" w:eastAsia="zh-CN"/>
              </w:rPr>
              <w:t>数据恢复</w:t>
            </w:r>
          </w:p>
        </w:tc>
        <w:tc>
          <w:tcPr>
            <w:tcW w:w="478" w:type="pct"/>
            <w:vAlign w:val="center"/>
          </w:tcPr>
          <w:p>
            <w:pPr>
              <w:widowControl/>
              <w:jc w:val="left"/>
              <w:rPr>
                <w:rFonts w:ascii="仿宋" w:hAnsi="仿宋" w:eastAsia="仿宋" w:cs="宋体"/>
                <w:kern w:val="0"/>
                <w:sz w:val="20"/>
                <w:szCs w:val="20"/>
              </w:rPr>
            </w:pPr>
          </w:p>
        </w:tc>
        <w:tc>
          <w:tcPr>
            <w:tcW w:w="1359" w:type="pct"/>
            <w:shd w:val="clear" w:color="auto" w:fill="auto"/>
            <w:noWrap/>
            <w:vAlign w:val="center"/>
          </w:tcPr>
          <w:p>
            <w:pPr>
              <w:widowControl/>
              <w:jc w:val="center"/>
              <w:rPr>
                <w:rFonts w:hint="default" w:ascii="仿宋" w:hAnsi="仿宋" w:eastAsia="仿宋" w:cs="宋体"/>
                <w:kern w:val="0"/>
                <w:sz w:val="20"/>
                <w:szCs w:val="20"/>
                <w:lang w:val="en-US"/>
              </w:rPr>
            </w:pPr>
            <w:r>
              <w:rPr>
                <w:rFonts w:hint="eastAsia" w:ascii="仿宋" w:hAnsi="仿宋" w:eastAsia="仿宋"/>
                <w:sz w:val="24"/>
                <w:lang w:val="en-US" w:eastAsia="zh-CN"/>
              </w:rPr>
              <w:t>16T</w:t>
            </w:r>
          </w:p>
        </w:tc>
        <w:tc>
          <w:tcPr>
            <w:tcW w:w="1188" w:type="pct"/>
            <w:shd w:val="clear" w:color="auto" w:fill="auto"/>
            <w:noWrap/>
            <w:vAlign w:val="center"/>
          </w:tcPr>
          <w:p>
            <w:pPr>
              <w:widowControl/>
              <w:jc w:val="center"/>
              <w:rPr>
                <w:rFonts w:hint="eastAsia" w:ascii="仿宋" w:hAnsi="仿宋" w:eastAsia="仿宋" w:cs="宋体"/>
                <w:kern w:val="0"/>
                <w:sz w:val="20"/>
                <w:szCs w:val="20"/>
                <w:lang w:val="en-US" w:eastAsia="zh-CN"/>
              </w:rPr>
            </w:pPr>
            <w:r>
              <w:rPr>
                <w:rFonts w:hint="eastAsia" w:ascii="仿宋" w:hAnsi="仿宋" w:eastAsia="仿宋" w:cs="宋体"/>
                <w:kern w:val="0"/>
                <w:sz w:val="20"/>
                <w:szCs w:val="20"/>
                <w:lang w:val="en-US" w:eastAsia="zh-CN"/>
              </w:rPr>
              <w:t>1</w:t>
            </w:r>
          </w:p>
        </w:tc>
        <w:tc>
          <w:tcPr>
            <w:tcW w:w="1259" w:type="pct"/>
            <w:shd w:val="clear" w:color="auto" w:fill="auto"/>
            <w:noWrap/>
            <w:vAlign w:val="center"/>
          </w:tcPr>
          <w:p>
            <w:pPr>
              <w:widowControl/>
              <w:jc w:val="center"/>
              <w:rPr>
                <w:rFonts w:hint="default" w:ascii="仿宋" w:hAnsi="仿宋" w:eastAsia="仿宋" w:cs="宋体"/>
                <w:kern w:val="0"/>
                <w:sz w:val="20"/>
                <w:szCs w:val="20"/>
                <w:lang w:val="en-US" w:eastAsia="zh-CN"/>
              </w:rPr>
            </w:pPr>
            <w:r>
              <w:rPr>
                <w:rFonts w:hint="eastAsia" w:ascii="仿宋" w:hAnsi="仿宋" w:eastAsia="仿宋" w:cs="宋体"/>
                <w:kern w:val="0"/>
                <w:sz w:val="20"/>
                <w:szCs w:val="20"/>
                <w:lang w:val="en-US" w:eastAsia="zh-CN"/>
              </w:rPr>
              <w:t>16T硬盘</w:t>
            </w:r>
          </w:p>
        </w:tc>
      </w:tr>
    </w:tbl>
    <w:p>
      <w:pPr>
        <w:pStyle w:val="2"/>
        <w:rPr>
          <w:rFonts w:hint="eastAsia" w:ascii="仿宋" w:hAnsi="仿宋" w:eastAsia="仿宋"/>
        </w:rPr>
      </w:pPr>
    </w:p>
    <w:p>
      <w:pPr>
        <w:spacing w:line="360" w:lineRule="auto"/>
        <w:ind w:firstLine="560" w:firstLineChars="200"/>
        <w:rPr>
          <w:rFonts w:ascii="仿宋" w:hAnsi="仿宋" w:eastAsia="仿宋"/>
          <w:sz w:val="28"/>
          <w:szCs w:val="28"/>
        </w:rPr>
      </w:pPr>
      <w:r>
        <w:rPr>
          <w:rFonts w:hint="eastAsia" w:ascii="仿宋" w:hAnsi="仿宋" w:eastAsia="仿宋"/>
          <w:sz w:val="28"/>
          <w:szCs w:val="28"/>
        </w:rPr>
        <w:t>二、</w:t>
      </w:r>
      <w:r>
        <w:rPr>
          <w:rFonts w:hint="eastAsia" w:ascii="仿宋" w:hAnsi="仿宋" w:eastAsia="仿宋"/>
          <w:sz w:val="28"/>
          <w:szCs w:val="28"/>
          <w:lang w:val="en-US" w:eastAsia="zh-CN"/>
        </w:rPr>
        <w:t>备件</w:t>
      </w:r>
      <w:r>
        <w:rPr>
          <w:rFonts w:hint="eastAsia" w:ascii="仿宋" w:hAnsi="仿宋" w:eastAsia="仿宋"/>
          <w:sz w:val="28"/>
          <w:szCs w:val="28"/>
        </w:rPr>
        <w:t>清单</w:t>
      </w:r>
    </w:p>
    <w:tbl>
      <w:tblPr>
        <w:tblStyle w:val="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4"/>
        <w:gridCol w:w="5113"/>
        <w:gridCol w:w="1243"/>
        <w:gridCol w:w="8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4" w:type="pct"/>
            <w:tcMar>
              <w:top w:w="0" w:type="dxa"/>
              <w:left w:w="105" w:type="dxa"/>
              <w:bottom w:w="0" w:type="dxa"/>
              <w:right w:w="105" w:type="dxa"/>
            </w:tcMar>
            <w:vAlign w:val="center"/>
          </w:tcPr>
          <w:p>
            <w:pPr>
              <w:pStyle w:val="6"/>
              <w:jc w:val="center"/>
              <w:rPr>
                <w:rFonts w:hint="default"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设备型号</w:t>
            </w:r>
          </w:p>
        </w:tc>
        <w:tc>
          <w:tcPr>
            <w:tcW w:w="3002" w:type="pct"/>
            <w:tcMar>
              <w:top w:w="0" w:type="dxa"/>
              <w:left w:w="105" w:type="dxa"/>
              <w:bottom w:w="0" w:type="dxa"/>
              <w:right w:w="105" w:type="dxa"/>
            </w:tcMar>
            <w:vAlign w:val="center"/>
          </w:tcPr>
          <w:p>
            <w:pPr>
              <w:pStyle w:val="6"/>
              <w:jc w:val="center"/>
              <w:rPr>
                <w:rFonts w:hint="default"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基本参数</w:t>
            </w:r>
          </w:p>
        </w:tc>
        <w:tc>
          <w:tcPr>
            <w:tcW w:w="730" w:type="pct"/>
            <w:vAlign w:val="center"/>
          </w:tcPr>
          <w:p>
            <w:pPr>
              <w:pStyle w:val="6"/>
              <w:jc w:val="center"/>
              <w:rPr>
                <w:rFonts w:hint="eastAsia"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推荐品牌</w:t>
            </w:r>
          </w:p>
        </w:tc>
        <w:tc>
          <w:tcPr>
            <w:tcW w:w="514" w:type="pct"/>
            <w:tcMar>
              <w:top w:w="0" w:type="dxa"/>
              <w:left w:w="105" w:type="dxa"/>
              <w:bottom w:w="0" w:type="dxa"/>
              <w:right w:w="105" w:type="dxa"/>
            </w:tcMar>
            <w:vAlign w:val="center"/>
          </w:tcPr>
          <w:p>
            <w:pPr>
              <w:pStyle w:val="6"/>
              <w:jc w:val="center"/>
              <w:rPr>
                <w:rFonts w:hint="default"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4" w:type="pct"/>
            <w:tcMar>
              <w:top w:w="0" w:type="dxa"/>
              <w:left w:w="105" w:type="dxa"/>
              <w:bottom w:w="0" w:type="dxa"/>
              <w:right w:w="105" w:type="dxa"/>
            </w:tcMar>
            <w:vAlign w:val="center"/>
          </w:tcPr>
          <w:p>
            <w:pPr>
              <w:pStyle w:val="6"/>
              <w:jc w:val="center"/>
              <w:rPr>
                <w:rFonts w:hint="default"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服务器硬盘1</w:t>
            </w:r>
          </w:p>
        </w:tc>
        <w:tc>
          <w:tcPr>
            <w:tcW w:w="3002" w:type="pct"/>
            <w:tcMar>
              <w:top w:w="0" w:type="dxa"/>
              <w:left w:w="105" w:type="dxa"/>
              <w:bottom w:w="0" w:type="dxa"/>
              <w:right w:w="105" w:type="dxa"/>
            </w:tcMar>
            <w:vAlign w:val="center"/>
          </w:tcPr>
          <w:p>
            <w:pPr>
              <w:pStyle w:val="6"/>
              <w:jc w:val="center"/>
              <w:rPr>
                <w:rFonts w:hint="eastAsia"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企业级数据存储阵列硬盘，1.2T 10K SAS 2.5英寸</w:t>
            </w:r>
          </w:p>
        </w:tc>
        <w:tc>
          <w:tcPr>
            <w:tcW w:w="730" w:type="pct"/>
            <w:vAlign w:val="center"/>
          </w:tcPr>
          <w:p>
            <w:pPr>
              <w:pStyle w:val="6"/>
              <w:jc w:val="center"/>
              <w:rPr>
                <w:rFonts w:hint="eastAsia"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DELL、HP、华为</w:t>
            </w:r>
          </w:p>
        </w:tc>
        <w:tc>
          <w:tcPr>
            <w:tcW w:w="514" w:type="pct"/>
            <w:tcMar>
              <w:top w:w="0" w:type="dxa"/>
              <w:left w:w="105" w:type="dxa"/>
              <w:bottom w:w="0" w:type="dxa"/>
              <w:right w:w="105" w:type="dxa"/>
            </w:tcMar>
            <w:vAlign w:val="center"/>
          </w:tcPr>
          <w:p>
            <w:pPr>
              <w:pStyle w:val="6"/>
              <w:jc w:val="center"/>
              <w:rPr>
                <w:rFonts w:hint="default"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4" w:type="pct"/>
            <w:tcMar>
              <w:top w:w="0" w:type="dxa"/>
              <w:left w:w="105" w:type="dxa"/>
              <w:bottom w:w="0" w:type="dxa"/>
              <w:right w:w="105" w:type="dxa"/>
            </w:tcMar>
            <w:vAlign w:val="center"/>
          </w:tcPr>
          <w:p>
            <w:pPr>
              <w:pStyle w:val="6"/>
              <w:jc w:val="center"/>
              <w:rPr>
                <w:rFonts w:hint="eastAsia"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服务器硬盘2</w:t>
            </w:r>
          </w:p>
        </w:tc>
        <w:tc>
          <w:tcPr>
            <w:tcW w:w="3002" w:type="pct"/>
            <w:tcMar>
              <w:top w:w="0" w:type="dxa"/>
              <w:left w:w="105" w:type="dxa"/>
              <w:bottom w:w="0" w:type="dxa"/>
              <w:right w:w="105" w:type="dxa"/>
            </w:tcMar>
            <w:vAlign w:val="center"/>
          </w:tcPr>
          <w:p>
            <w:pPr>
              <w:pStyle w:val="6"/>
              <w:jc w:val="center"/>
              <w:rPr>
                <w:rFonts w:hint="eastAsia"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企业级数据存储阵列硬盘，12T 7.2K SATA 3.5英寸</w:t>
            </w:r>
          </w:p>
        </w:tc>
        <w:tc>
          <w:tcPr>
            <w:tcW w:w="730" w:type="pct"/>
            <w:vAlign w:val="center"/>
          </w:tcPr>
          <w:p>
            <w:pPr>
              <w:pStyle w:val="6"/>
              <w:jc w:val="center"/>
              <w:rPr>
                <w:rFonts w:hint="eastAsia"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DELL、HP、华为</w:t>
            </w:r>
          </w:p>
        </w:tc>
        <w:tc>
          <w:tcPr>
            <w:tcW w:w="514" w:type="pct"/>
            <w:tcMar>
              <w:top w:w="0" w:type="dxa"/>
              <w:left w:w="105" w:type="dxa"/>
              <w:bottom w:w="0" w:type="dxa"/>
              <w:right w:w="105" w:type="dxa"/>
            </w:tcMar>
            <w:vAlign w:val="center"/>
          </w:tcPr>
          <w:p>
            <w:pPr>
              <w:pStyle w:val="6"/>
              <w:jc w:val="center"/>
              <w:rPr>
                <w:rFonts w:hint="eastAsia"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4" w:type="pct"/>
            <w:vMerge w:val="restart"/>
            <w:tcMar>
              <w:top w:w="0" w:type="dxa"/>
              <w:left w:w="105" w:type="dxa"/>
              <w:bottom w:w="0" w:type="dxa"/>
              <w:right w:w="105" w:type="dxa"/>
            </w:tcMar>
            <w:vAlign w:val="center"/>
          </w:tcPr>
          <w:p>
            <w:pPr>
              <w:pStyle w:val="6"/>
              <w:jc w:val="center"/>
              <w:rPr>
                <w:rFonts w:hint="eastAsia"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光模块</w:t>
            </w:r>
          </w:p>
        </w:tc>
        <w:tc>
          <w:tcPr>
            <w:tcW w:w="3002" w:type="pct"/>
            <w:tcMar>
              <w:top w:w="0" w:type="dxa"/>
              <w:left w:w="105" w:type="dxa"/>
              <w:bottom w:w="0" w:type="dxa"/>
              <w:right w:w="105" w:type="dxa"/>
            </w:tcMar>
            <w:vAlign w:val="center"/>
          </w:tcPr>
          <w:p>
            <w:pPr>
              <w:pStyle w:val="6"/>
              <w:jc w:val="center"/>
              <w:rPr>
                <w:rFonts w:hint="eastAsia"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单口1000BASE-LX mini GBIC转换模块（LC接口）</w:t>
            </w:r>
          </w:p>
        </w:tc>
        <w:tc>
          <w:tcPr>
            <w:tcW w:w="730" w:type="pct"/>
            <w:vAlign w:val="center"/>
          </w:tcPr>
          <w:p>
            <w:pPr>
              <w:pStyle w:val="6"/>
              <w:jc w:val="center"/>
              <w:rPr>
                <w:rFonts w:hint="eastAsia"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锐捷、H3C、华为</w:t>
            </w:r>
          </w:p>
        </w:tc>
        <w:tc>
          <w:tcPr>
            <w:tcW w:w="514" w:type="pct"/>
            <w:tcMar>
              <w:top w:w="0" w:type="dxa"/>
              <w:left w:w="105" w:type="dxa"/>
              <w:bottom w:w="0" w:type="dxa"/>
              <w:right w:w="105" w:type="dxa"/>
            </w:tcMar>
            <w:vAlign w:val="center"/>
          </w:tcPr>
          <w:p>
            <w:pPr>
              <w:pStyle w:val="6"/>
              <w:jc w:val="center"/>
              <w:rPr>
                <w:rFonts w:hint="default"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4" w:type="pct"/>
            <w:vMerge w:val="continue"/>
            <w:tcMar>
              <w:top w:w="0" w:type="dxa"/>
              <w:left w:w="105" w:type="dxa"/>
              <w:bottom w:w="0" w:type="dxa"/>
              <w:right w:w="105" w:type="dxa"/>
            </w:tcMar>
            <w:vAlign w:val="center"/>
          </w:tcPr>
          <w:p>
            <w:pPr>
              <w:pStyle w:val="6"/>
              <w:jc w:val="center"/>
              <w:rPr>
                <w:rFonts w:hint="eastAsia" w:ascii="仿宋" w:hAnsi="仿宋" w:eastAsia="仿宋" w:cs="宋体"/>
                <w:kern w:val="0"/>
                <w:sz w:val="20"/>
                <w:szCs w:val="20"/>
                <w:lang w:val="en-US" w:eastAsia="zh-CN" w:bidi="ar-SA"/>
                <w14:ligatures w14:val="none"/>
              </w:rPr>
            </w:pPr>
          </w:p>
        </w:tc>
        <w:tc>
          <w:tcPr>
            <w:tcW w:w="3002" w:type="pct"/>
            <w:tcMar>
              <w:top w:w="0" w:type="dxa"/>
              <w:left w:w="105" w:type="dxa"/>
              <w:bottom w:w="0" w:type="dxa"/>
              <w:right w:w="105" w:type="dxa"/>
            </w:tcMar>
            <w:vAlign w:val="center"/>
          </w:tcPr>
          <w:p>
            <w:pPr>
              <w:pStyle w:val="6"/>
              <w:jc w:val="center"/>
              <w:rPr>
                <w:rFonts w:hint="eastAsia"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单口1000BASE-SX mini GBIC转换模块（LC接口）</w:t>
            </w:r>
          </w:p>
        </w:tc>
        <w:tc>
          <w:tcPr>
            <w:tcW w:w="730" w:type="pct"/>
            <w:vAlign w:val="center"/>
          </w:tcPr>
          <w:p>
            <w:pPr>
              <w:pStyle w:val="6"/>
              <w:jc w:val="center"/>
              <w:rPr>
                <w:rFonts w:hint="eastAsia"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锐捷、H3C、华为</w:t>
            </w:r>
          </w:p>
        </w:tc>
        <w:tc>
          <w:tcPr>
            <w:tcW w:w="514" w:type="pct"/>
            <w:tcMar>
              <w:top w:w="0" w:type="dxa"/>
              <w:left w:w="105" w:type="dxa"/>
              <w:bottom w:w="0" w:type="dxa"/>
              <w:right w:w="105" w:type="dxa"/>
            </w:tcMar>
            <w:vAlign w:val="center"/>
          </w:tcPr>
          <w:p>
            <w:pPr>
              <w:pStyle w:val="6"/>
              <w:jc w:val="center"/>
              <w:rPr>
                <w:rFonts w:hint="eastAsia"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4" w:type="pct"/>
            <w:vMerge w:val="continue"/>
            <w:tcMar>
              <w:top w:w="0" w:type="dxa"/>
              <w:left w:w="105" w:type="dxa"/>
              <w:bottom w:w="0" w:type="dxa"/>
              <w:right w:w="105" w:type="dxa"/>
            </w:tcMar>
            <w:vAlign w:val="center"/>
          </w:tcPr>
          <w:p>
            <w:pPr>
              <w:pStyle w:val="6"/>
              <w:jc w:val="center"/>
              <w:rPr>
                <w:rFonts w:hint="eastAsia" w:ascii="仿宋" w:hAnsi="仿宋" w:eastAsia="仿宋" w:cs="宋体"/>
                <w:kern w:val="0"/>
                <w:sz w:val="20"/>
                <w:szCs w:val="20"/>
                <w:lang w:val="en-US" w:eastAsia="zh-CN" w:bidi="ar-SA"/>
                <w14:ligatures w14:val="none"/>
              </w:rPr>
            </w:pPr>
          </w:p>
        </w:tc>
        <w:tc>
          <w:tcPr>
            <w:tcW w:w="3002" w:type="pct"/>
            <w:tcMar>
              <w:top w:w="0" w:type="dxa"/>
              <w:left w:w="105" w:type="dxa"/>
              <w:bottom w:w="0" w:type="dxa"/>
              <w:right w:w="105" w:type="dxa"/>
            </w:tcMar>
            <w:vAlign w:val="center"/>
          </w:tcPr>
          <w:p>
            <w:pPr>
              <w:pStyle w:val="6"/>
              <w:jc w:val="center"/>
              <w:rPr>
                <w:rFonts w:hint="eastAsia"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万兆LC接口模块（13</w:t>
            </w:r>
            <w:bookmarkStart w:id="1" w:name="_GoBack"/>
            <w:bookmarkEnd w:id="1"/>
            <w:r>
              <w:rPr>
                <w:rFonts w:hint="eastAsia" w:ascii="仿宋" w:hAnsi="仿宋" w:eastAsia="仿宋" w:cs="宋体"/>
                <w:kern w:val="0"/>
                <w:sz w:val="20"/>
                <w:szCs w:val="20"/>
                <w:lang w:val="en-US" w:eastAsia="zh-CN" w:bidi="ar-SA"/>
                <w14:ligatures w14:val="none"/>
              </w:rPr>
              <w:t>10nm），10km，适用于SFP+接口</w:t>
            </w:r>
          </w:p>
        </w:tc>
        <w:tc>
          <w:tcPr>
            <w:tcW w:w="730" w:type="pct"/>
            <w:vAlign w:val="center"/>
          </w:tcPr>
          <w:p>
            <w:pPr>
              <w:pStyle w:val="6"/>
              <w:jc w:val="center"/>
              <w:rPr>
                <w:rFonts w:hint="eastAsia"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锐捷、H3C、华为</w:t>
            </w:r>
          </w:p>
        </w:tc>
        <w:tc>
          <w:tcPr>
            <w:tcW w:w="514" w:type="pct"/>
            <w:tcMar>
              <w:top w:w="0" w:type="dxa"/>
              <w:left w:w="105" w:type="dxa"/>
              <w:bottom w:w="0" w:type="dxa"/>
              <w:right w:w="105" w:type="dxa"/>
            </w:tcMar>
            <w:vAlign w:val="center"/>
          </w:tcPr>
          <w:p>
            <w:pPr>
              <w:pStyle w:val="6"/>
              <w:jc w:val="center"/>
              <w:rPr>
                <w:rFonts w:hint="eastAsia"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4" w:type="pct"/>
            <w:tcMar>
              <w:top w:w="0" w:type="dxa"/>
              <w:left w:w="105" w:type="dxa"/>
              <w:bottom w:w="0" w:type="dxa"/>
              <w:right w:w="105" w:type="dxa"/>
            </w:tcMar>
            <w:vAlign w:val="center"/>
          </w:tcPr>
          <w:p>
            <w:pPr>
              <w:pStyle w:val="6"/>
              <w:jc w:val="center"/>
              <w:rPr>
                <w:rFonts w:hint="eastAsia"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光纤跳线</w:t>
            </w:r>
          </w:p>
        </w:tc>
        <w:tc>
          <w:tcPr>
            <w:tcW w:w="3002" w:type="pct"/>
            <w:tcMar>
              <w:top w:w="0" w:type="dxa"/>
              <w:left w:w="105" w:type="dxa"/>
              <w:bottom w:w="0" w:type="dxa"/>
              <w:right w:w="105" w:type="dxa"/>
            </w:tcMar>
            <w:vAlign w:val="center"/>
          </w:tcPr>
          <w:p>
            <w:pPr>
              <w:pStyle w:val="6"/>
              <w:jc w:val="center"/>
              <w:rPr>
                <w:rFonts w:hint="eastAsia"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LC-LC单模双芯 低烟无卤环光纤跳线 10米</w:t>
            </w:r>
          </w:p>
        </w:tc>
        <w:tc>
          <w:tcPr>
            <w:tcW w:w="730" w:type="pct"/>
            <w:vAlign w:val="center"/>
          </w:tcPr>
          <w:p>
            <w:pPr>
              <w:pStyle w:val="6"/>
              <w:jc w:val="center"/>
              <w:rPr>
                <w:rFonts w:hint="eastAsia"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国产主流品牌</w:t>
            </w:r>
          </w:p>
        </w:tc>
        <w:tc>
          <w:tcPr>
            <w:tcW w:w="514" w:type="pct"/>
            <w:tcMar>
              <w:top w:w="0" w:type="dxa"/>
              <w:left w:w="105" w:type="dxa"/>
              <w:bottom w:w="0" w:type="dxa"/>
              <w:right w:w="105" w:type="dxa"/>
            </w:tcMar>
            <w:vAlign w:val="center"/>
          </w:tcPr>
          <w:p>
            <w:pPr>
              <w:pStyle w:val="6"/>
              <w:jc w:val="center"/>
              <w:rPr>
                <w:rFonts w:hint="eastAsia" w:ascii="仿宋" w:hAnsi="仿宋" w:eastAsia="仿宋" w:cs="宋体"/>
                <w:kern w:val="0"/>
                <w:sz w:val="20"/>
                <w:szCs w:val="20"/>
                <w:lang w:val="en-US" w:eastAsia="zh-CN" w:bidi="ar-SA"/>
                <w14:ligatures w14:val="none"/>
              </w:rPr>
            </w:pPr>
            <w:r>
              <w:rPr>
                <w:rFonts w:hint="eastAsia" w:ascii="仿宋" w:hAnsi="仿宋" w:eastAsia="仿宋" w:cs="宋体"/>
                <w:kern w:val="0"/>
                <w:sz w:val="20"/>
                <w:szCs w:val="20"/>
                <w:lang w:val="en-US" w:eastAsia="zh-CN" w:bidi="ar-SA"/>
                <w14:ligatures w14:val="none"/>
              </w:rPr>
              <w:t>20</w:t>
            </w:r>
          </w:p>
        </w:tc>
      </w:tr>
    </w:tbl>
    <w:p>
      <w:pPr>
        <w:spacing w:line="360" w:lineRule="auto"/>
        <w:jc w:val="left"/>
        <w:rPr>
          <w:rFonts w:hint="eastAsia" w:ascii="仿宋" w:hAnsi="仿宋" w:eastAsia="仿宋"/>
          <w:color w:val="FF0000"/>
          <w:sz w:val="28"/>
          <w:szCs w:val="28"/>
          <w:lang w:val="en-US" w:eastAsia="zh-CN"/>
        </w:rPr>
      </w:pPr>
    </w:p>
    <w:p>
      <w:pPr>
        <w:spacing w:line="360" w:lineRule="auto"/>
        <w:ind w:firstLine="560" w:firstLineChars="200"/>
        <w:rPr>
          <w:rFonts w:ascii="仿宋" w:hAnsi="仿宋" w:eastAsia="仿宋"/>
          <w:sz w:val="28"/>
          <w:szCs w:val="28"/>
        </w:rPr>
      </w:pPr>
      <w:r>
        <w:rPr>
          <w:rFonts w:hint="eastAsia" w:ascii="仿宋" w:hAnsi="仿宋" w:eastAsia="仿宋"/>
          <w:sz w:val="28"/>
          <w:szCs w:val="28"/>
        </w:rPr>
        <w:t>三、服务内容及要求：</w:t>
      </w:r>
    </w:p>
    <w:p>
      <w:pPr>
        <w:spacing w:line="360" w:lineRule="auto"/>
        <w:ind w:firstLine="480" w:firstLineChars="200"/>
        <w:rPr>
          <w:rFonts w:ascii="仿宋" w:hAnsi="仿宋" w:eastAsia="仿宋"/>
          <w:sz w:val="24"/>
        </w:rPr>
      </w:pPr>
      <w:r>
        <w:rPr>
          <w:rFonts w:ascii="仿宋" w:hAnsi="仿宋" w:eastAsia="仿宋"/>
          <w:sz w:val="24"/>
        </w:rPr>
        <w:t>针对我</w:t>
      </w:r>
      <w:r>
        <w:rPr>
          <w:rFonts w:hint="eastAsia" w:ascii="仿宋" w:hAnsi="仿宋" w:eastAsia="仿宋"/>
          <w:sz w:val="24"/>
        </w:rPr>
        <w:t>院6</w:t>
      </w:r>
      <w:r>
        <w:rPr>
          <w:rFonts w:ascii="仿宋" w:hAnsi="仿宋" w:eastAsia="仿宋"/>
          <w:sz w:val="24"/>
        </w:rPr>
        <w:t>4</w:t>
      </w:r>
      <w:r>
        <w:rPr>
          <w:rFonts w:hint="eastAsia" w:ascii="仿宋" w:hAnsi="仿宋" w:eastAsia="仿宋"/>
          <w:sz w:val="24"/>
        </w:rPr>
        <w:t>台存储及服务器设备，现购买为期一</w:t>
      </w:r>
      <w:r>
        <w:rPr>
          <w:rFonts w:ascii="仿宋" w:hAnsi="仿宋" w:eastAsia="仿宋"/>
          <w:sz w:val="24"/>
        </w:rPr>
        <w:t>年的软硬件维护服务</w:t>
      </w:r>
      <w:r>
        <w:rPr>
          <w:rFonts w:hint="eastAsia" w:ascii="仿宋" w:hAnsi="仿宋" w:eastAsia="仿宋"/>
          <w:sz w:val="24"/>
        </w:rPr>
        <w:t>，具体</w:t>
      </w:r>
      <w:r>
        <w:rPr>
          <w:rFonts w:ascii="仿宋" w:hAnsi="仿宋" w:eastAsia="仿宋"/>
          <w:sz w:val="24"/>
        </w:rPr>
        <w:t>服务需求如下：</w:t>
      </w:r>
    </w:p>
    <w:p>
      <w:pPr>
        <w:numPr>
          <w:ilvl w:val="0"/>
          <w:numId w:val="1"/>
        </w:numPr>
        <w:spacing w:line="360" w:lineRule="auto"/>
        <w:ind w:firstLine="480" w:firstLineChars="200"/>
        <w:rPr>
          <w:rFonts w:ascii="仿宋" w:hAnsi="仿宋" w:eastAsia="仿宋"/>
          <w:sz w:val="24"/>
          <w:lang w:bidi="en-US"/>
        </w:rPr>
      </w:pPr>
      <w:r>
        <w:rPr>
          <w:rFonts w:hint="eastAsia" w:ascii="仿宋" w:hAnsi="仿宋" w:eastAsia="仿宋"/>
          <w:kern w:val="0"/>
          <w:sz w:val="24"/>
          <w:szCs w:val="21"/>
        </w:rPr>
        <w:t>服务内容：①对医院数据中心内</w:t>
      </w:r>
      <w:r>
        <w:rPr>
          <w:rFonts w:hint="eastAsia" w:ascii="仿宋" w:hAnsi="仿宋" w:eastAsia="仿宋"/>
          <w:sz w:val="24"/>
        </w:rPr>
        <w:t>6</w:t>
      </w:r>
      <w:r>
        <w:rPr>
          <w:rFonts w:ascii="仿宋" w:hAnsi="仿宋" w:eastAsia="仿宋"/>
          <w:sz w:val="24"/>
        </w:rPr>
        <w:t>4</w:t>
      </w:r>
      <w:r>
        <w:rPr>
          <w:rFonts w:hint="eastAsia" w:ascii="仿宋" w:hAnsi="仿宋" w:eastAsia="仿宋"/>
          <w:sz w:val="24"/>
        </w:rPr>
        <w:t>台存储及服务器设备提供日常巡检维护，故障排除和现场值守服务。②为医院信息中心提供一名</w:t>
      </w:r>
      <w:r>
        <w:rPr>
          <w:rFonts w:ascii="仿宋" w:hAnsi="仿宋" w:eastAsia="仿宋"/>
          <w:sz w:val="24"/>
        </w:rPr>
        <w:t>8</w:t>
      </w:r>
      <w:r>
        <w:rPr>
          <w:rFonts w:hint="eastAsia" w:ascii="仿宋" w:hAnsi="仿宋" w:eastAsia="仿宋"/>
          <w:sz w:val="24"/>
        </w:rPr>
        <w:t>*</w:t>
      </w:r>
      <w:r>
        <w:rPr>
          <w:rFonts w:ascii="仿宋" w:hAnsi="仿宋" w:eastAsia="仿宋"/>
          <w:sz w:val="24"/>
        </w:rPr>
        <w:t>5</w:t>
      </w:r>
      <w:r>
        <w:rPr>
          <w:rFonts w:hint="eastAsia" w:ascii="仿宋" w:hAnsi="仿宋" w:eastAsia="仿宋"/>
          <w:sz w:val="24"/>
        </w:rPr>
        <w:t>*</w:t>
      </w:r>
      <w:r>
        <w:rPr>
          <w:rFonts w:ascii="仿宋" w:hAnsi="仿宋" w:eastAsia="仿宋"/>
          <w:sz w:val="24"/>
        </w:rPr>
        <w:t>365</w:t>
      </w:r>
      <w:r>
        <w:rPr>
          <w:rFonts w:hint="eastAsia" w:ascii="仿宋" w:hAnsi="仿宋" w:eastAsia="仿宋"/>
          <w:sz w:val="24"/>
        </w:rPr>
        <w:t>专职驻场运维人员。③配合用户</w:t>
      </w:r>
      <w:r>
        <w:rPr>
          <w:rFonts w:hint="eastAsia" w:ascii="仿宋" w:hAnsi="仿宋" w:eastAsia="仿宋"/>
          <w:kern w:val="0"/>
          <w:sz w:val="24"/>
          <w:szCs w:val="21"/>
        </w:rPr>
        <w:t>对</w:t>
      </w:r>
      <w:r>
        <w:rPr>
          <w:rFonts w:hint="eastAsia" w:ascii="仿宋" w:hAnsi="仿宋" w:eastAsia="仿宋"/>
          <w:sz w:val="24"/>
          <w:lang w:bidi="en-US"/>
        </w:rPr>
        <w:t>现有医院业务系统进行梳理，整理医院现有业务系统逻辑架构并输出相应报告，报告需包含准确的业务逻辑依存关系拓扑图（包括软件、硬件、中间件等组件）和资源占用情况。对医院业务系统出现的卡顿或故障，能够提出合理的改进方案，优化存储架构及资源分布。④完成其他用户要求的数据中心维保工作。</w:t>
      </w:r>
    </w:p>
    <w:p>
      <w:pPr>
        <w:numPr>
          <w:ilvl w:val="0"/>
          <w:numId w:val="1"/>
        </w:numPr>
        <w:spacing w:line="360" w:lineRule="auto"/>
        <w:ind w:firstLine="480" w:firstLineChars="200"/>
        <w:rPr>
          <w:rFonts w:ascii="仿宋" w:hAnsi="仿宋" w:eastAsia="仿宋" w:cs="仿宋_GB2312"/>
          <w:color w:val="000000"/>
          <w:kern w:val="0"/>
          <w:sz w:val="24"/>
          <w:szCs w:val="28"/>
        </w:rPr>
      </w:pPr>
      <w:r>
        <w:rPr>
          <w:rFonts w:hint="eastAsia" w:ascii="仿宋" w:hAnsi="仿宋" w:eastAsia="仿宋"/>
          <w:sz w:val="24"/>
          <w:lang w:bidi="en-US"/>
        </w:rPr>
        <w:t>服务范围：服务范围包括但不限于维保设备清单，业主方机房内的所有服务器、存储及存储交换设备都包含在技术服务范围内。</w:t>
      </w:r>
    </w:p>
    <w:p>
      <w:pPr>
        <w:numPr>
          <w:ilvl w:val="0"/>
          <w:numId w:val="1"/>
        </w:numPr>
        <w:spacing w:line="360" w:lineRule="auto"/>
        <w:ind w:firstLine="480" w:firstLineChars="200"/>
        <w:rPr>
          <w:rFonts w:ascii="仿宋" w:hAnsi="仿宋" w:eastAsia="仿宋"/>
          <w:sz w:val="24"/>
          <w:lang w:bidi="en-US"/>
        </w:rPr>
      </w:pPr>
      <w:r>
        <w:rPr>
          <w:rFonts w:ascii="仿宋" w:hAnsi="仿宋" w:eastAsia="仿宋"/>
          <w:sz w:val="24"/>
          <w:lang w:bidi="en-US"/>
        </w:rPr>
        <w:t>服务期限</w:t>
      </w:r>
      <w:r>
        <w:rPr>
          <w:rFonts w:hint="eastAsia" w:ascii="仿宋" w:hAnsi="仿宋" w:eastAsia="仿宋"/>
          <w:sz w:val="24"/>
          <w:lang w:bidi="en-US"/>
        </w:rPr>
        <w:t>：</w:t>
      </w:r>
      <w:r>
        <w:rPr>
          <w:rFonts w:ascii="仿宋" w:hAnsi="仿宋" w:eastAsia="仿宋"/>
          <w:sz w:val="24"/>
          <w:lang w:bidi="en-US"/>
        </w:rPr>
        <w:t>自从签订合同之日算起，对</w:t>
      </w:r>
      <w:r>
        <w:rPr>
          <w:rFonts w:hint="eastAsia" w:ascii="仿宋" w:hAnsi="仿宋" w:eastAsia="仿宋"/>
          <w:sz w:val="24"/>
          <w:lang w:bidi="en-US"/>
        </w:rPr>
        <w:t>维护清单中的</w:t>
      </w:r>
      <w:r>
        <w:rPr>
          <w:rFonts w:ascii="仿宋" w:hAnsi="仿宋" w:eastAsia="仿宋"/>
          <w:sz w:val="24"/>
          <w:lang w:bidi="en-US"/>
        </w:rPr>
        <w:t>硬件</w:t>
      </w:r>
      <w:r>
        <w:rPr>
          <w:rFonts w:hint="eastAsia" w:ascii="仿宋" w:hAnsi="仿宋" w:eastAsia="仿宋"/>
          <w:sz w:val="24"/>
          <w:lang w:bidi="en-US"/>
        </w:rPr>
        <w:t>及对应软件</w:t>
      </w:r>
      <w:r>
        <w:rPr>
          <w:rFonts w:ascii="仿宋" w:hAnsi="仿宋" w:eastAsia="仿宋"/>
          <w:sz w:val="24"/>
          <w:lang w:bidi="en-US"/>
        </w:rPr>
        <w:t>提供</w:t>
      </w:r>
      <w:r>
        <w:rPr>
          <w:rFonts w:hint="eastAsia" w:ascii="仿宋" w:hAnsi="仿宋" w:eastAsia="仿宋"/>
          <w:sz w:val="24"/>
          <w:lang w:bidi="en-US"/>
        </w:rPr>
        <w:t>1</w:t>
      </w:r>
      <w:r>
        <w:rPr>
          <w:rFonts w:ascii="仿宋" w:hAnsi="仿宋" w:eastAsia="仿宋"/>
          <w:sz w:val="24"/>
          <w:lang w:bidi="en-US"/>
        </w:rPr>
        <w:t>年的</w:t>
      </w:r>
      <w:r>
        <w:rPr>
          <w:rFonts w:hint="eastAsia" w:ascii="仿宋" w:hAnsi="仿宋" w:eastAsia="仿宋"/>
          <w:sz w:val="24"/>
          <w:lang w:bidi="en-US"/>
        </w:rPr>
        <w:t>保</w:t>
      </w:r>
      <w:r>
        <w:rPr>
          <w:rFonts w:ascii="仿宋" w:hAnsi="仿宋" w:eastAsia="仿宋"/>
          <w:sz w:val="24"/>
          <w:lang w:bidi="en-US"/>
        </w:rPr>
        <w:t>修服务</w:t>
      </w:r>
      <w:r>
        <w:rPr>
          <w:rFonts w:hint="eastAsia" w:ascii="仿宋" w:hAnsi="仿宋" w:eastAsia="仿宋"/>
          <w:sz w:val="24"/>
          <w:lang w:bidi="en-US"/>
        </w:rPr>
        <w:t>，在</w:t>
      </w:r>
      <w:r>
        <w:rPr>
          <w:rFonts w:ascii="仿宋" w:hAnsi="仿宋" w:eastAsia="仿宋"/>
          <w:sz w:val="24"/>
          <w:lang w:bidi="en-US"/>
        </w:rPr>
        <w:t>服务期限内</w:t>
      </w:r>
      <w:r>
        <w:rPr>
          <w:rFonts w:hint="eastAsia" w:ascii="仿宋" w:hAnsi="仿宋" w:eastAsia="仿宋"/>
          <w:sz w:val="24"/>
          <w:lang w:bidi="en-US"/>
        </w:rPr>
        <w:t>提供</w:t>
      </w:r>
      <w:r>
        <w:rPr>
          <w:rFonts w:ascii="仿宋" w:hAnsi="仿宋" w:eastAsia="仿宋"/>
          <w:sz w:val="24"/>
          <w:lang w:bidi="en-US"/>
        </w:rPr>
        <w:t>软件版本的免费升级</w:t>
      </w:r>
      <w:r>
        <w:rPr>
          <w:rFonts w:hint="eastAsia" w:ascii="仿宋" w:hAnsi="仿宋" w:eastAsia="仿宋"/>
          <w:sz w:val="24"/>
          <w:lang w:bidi="en-US"/>
        </w:rPr>
        <w:t>。</w:t>
      </w:r>
    </w:p>
    <w:p>
      <w:pPr>
        <w:numPr>
          <w:ilvl w:val="0"/>
          <w:numId w:val="1"/>
        </w:numPr>
        <w:spacing w:line="360" w:lineRule="auto"/>
        <w:ind w:firstLine="480" w:firstLineChars="200"/>
        <w:rPr>
          <w:rFonts w:ascii="仿宋" w:hAnsi="仿宋" w:eastAsia="仿宋"/>
          <w:sz w:val="24"/>
          <w:lang w:bidi="en-US"/>
        </w:rPr>
      </w:pPr>
      <w:r>
        <w:rPr>
          <w:rFonts w:ascii="仿宋" w:hAnsi="仿宋" w:eastAsia="仿宋"/>
          <w:sz w:val="24"/>
          <w:lang w:bidi="en-US"/>
        </w:rPr>
        <w:t>服务</w:t>
      </w:r>
      <w:r>
        <w:rPr>
          <w:rFonts w:hint="eastAsia" w:ascii="仿宋" w:hAnsi="仿宋" w:eastAsia="仿宋"/>
          <w:sz w:val="24"/>
          <w:lang w:bidi="en-US"/>
        </w:rPr>
        <w:t>响应：</w:t>
      </w:r>
      <w:r>
        <w:rPr>
          <w:rFonts w:ascii="仿宋" w:hAnsi="仿宋" w:eastAsia="仿宋"/>
          <w:sz w:val="24"/>
          <w:lang w:bidi="en-US"/>
        </w:rPr>
        <w:t>提供全年7*24*365</w:t>
      </w:r>
      <w:r>
        <w:rPr>
          <w:rFonts w:hint="eastAsia" w:ascii="仿宋" w:hAnsi="仿宋" w:eastAsia="仿宋"/>
          <w:sz w:val="24"/>
          <w:lang w:bidi="en-US"/>
        </w:rPr>
        <w:t>小时</w:t>
      </w:r>
      <w:r>
        <w:rPr>
          <w:rFonts w:ascii="仿宋" w:hAnsi="仿宋" w:eastAsia="仿宋"/>
          <w:sz w:val="24"/>
          <w:lang w:bidi="en-US"/>
        </w:rPr>
        <w:t>软硬件上门技术支持</w:t>
      </w:r>
      <w:r>
        <w:rPr>
          <w:rFonts w:hint="eastAsia" w:ascii="仿宋" w:hAnsi="仿宋" w:eastAsia="仿宋"/>
          <w:sz w:val="24"/>
          <w:lang w:bidi="en-US"/>
        </w:rPr>
        <w:t>，并根据医院需求，在医院重大变更或重要事件发生时，提供</w:t>
      </w:r>
      <w:r>
        <w:rPr>
          <w:rFonts w:ascii="仿宋" w:hAnsi="仿宋" w:eastAsia="仿宋"/>
          <w:sz w:val="24"/>
          <w:lang w:bidi="en-US"/>
        </w:rPr>
        <w:t>7*24</w:t>
      </w:r>
      <w:r>
        <w:rPr>
          <w:rFonts w:hint="eastAsia" w:ascii="仿宋" w:hAnsi="仿宋" w:eastAsia="仿宋"/>
          <w:sz w:val="24"/>
          <w:lang w:bidi="en-US"/>
        </w:rPr>
        <w:t>现场服务</w:t>
      </w:r>
      <w:r>
        <w:rPr>
          <w:rFonts w:ascii="仿宋" w:hAnsi="仿宋" w:eastAsia="仿宋"/>
          <w:sz w:val="24"/>
          <w:lang w:bidi="en-US"/>
        </w:rPr>
        <w:t>。</w:t>
      </w:r>
    </w:p>
    <w:p>
      <w:pPr>
        <w:numPr>
          <w:ilvl w:val="0"/>
          <w:numId w:val="1"/>
        </w:numPr>
        <w:spacing w:line="360" w:lineRule="auto"/>
        <w:ind w:firstLine="480" w:firstLineChars="200"/>
        <w:rPr>
          <w:rFonts w:ascii="仿宋" w:hAnsi="仿宋" w:eastAsia="仿宋"/>
          <w:sz w:val="24"/>
          <w:lang w:bidi="en-US"/>
        </w:rPr>
      </w:pPr>
      <w:r>
        <w:rPr>
          <w:rFonts w:ascii="仿宋" w:hAnsi="仿宋" w:eastAsia="仿宋"/>
          <w:sz w:val="24"/>
          <w:lang w:bidi="en-US"/>
        </w:rPr>
        <w:t>服务</w:t>
      </w:r>
      <w:r>
        <w:rPr>
          <w:rFonts w:hint="eastAsia" w:ascii="仿宋" w:hAnsi="仿宋" w:eastAsia="仿宋"/>
          <w:sz w:val="24"/>
          <w:lang w:bidi="en-US"/>
        </w:rPr>
        <w:t>要求：</w:t>
      </w:r>
      <w:r>
        <w:rPr>
          <w:rFonts w:ascii="仿宋" w:hAnsi="仿宋" w:eastAsia="仿宋"/>
          <w:sz w:val="24"/>
          <w:lang w:bidi="en-US"/>
        </w:rPr>
        <w:t>服务期限内，</w:t>
      </w:r>
      <w:r>
        <w:rPr>
          <w:rFonts w:hint="eastAsia" w:ascii="仿宋" w:hAnsi="仿宋" w:eastAsia="仿宋"/>
          <w:sz w:val="24"/>
          <w:lang w:bidi="en-US"/>
        </w:rPr>
        <w:t>服务商</w:t>
      </w:r>
      <w:r>
        <w:rPr>
          <w:rFonts w:ascii="仿宋" w:hAnsi="仿宋" w:eastAsia="仿宋"/>
          <w:sz w:val="24"/>
          <w:lang w:bidi="en-US"/>
        </w:rPr>
        <w:t>应充分了解</w:t>
      </w:r>
      <w:r>
        <w:rPr>
          <w:rFonts w:hint="eastAsia" w:ascii="仿宋" w:hAnsi="仿宋" w:eastAsia="仿宋"/>
          <w:sz w:val="24"/>
          <w:lang w:bidi="en-US"/>
        </w:rPr>
        <w:t>医院</w:t>
      </w:r>
      <w:r>
        <w:rPr>
          <w:rFonts w:ascii="仿宋" w:hAnsi="仿宋" w:eastAsia="仿宋"/>
          <w:sz w:val="24"/>
          <w:lang w:bidi="en-US"/>
        </w:rPr>
        <w:t>现有</w:t>
      </w:r>
      <w:r>
        <w:rPr>
          <w:rFonts w:hint="eastAsia" w:ascii="仿宋" w:hAnsi="仿宋" w:eastAsia="仿宋"/>
          <w:sz w:val="24"/>
          <w:lang w:bidi="en-US"/>
        </w:rPr>
        <w:t>的</w:t>
      </w:r>
      <w:r>
        <w:rPr>
          <w:rFonts w:ascii="仿宋" w:hAnsi="仿宋" w:eastAsia="仿宋"/>
          <w:sz w:val="24"/>
          <w:lang w:bidi="en-US"/>
        </w:rPr>
        <w:t>环境基础，提供规范化、高质量的服务</w:t>
      </w:r>
      <w:bookmarkStart w:id="0" w:name="_Toc303066032"/>
      <w:r>
        <w:rPr>
          <w:rFonts w:hint="eastAsia" w:ascii="仿宋" w:hAnsi="仿宋" w:eastAsia="仿宋"/>
          <w:sz w:val="24"/>
          <w:lang w:bidi="en-US"/>
        </w:rPr>
        <w:t>方案。服务商需提供本地化服务，方便专人进行设备维护、保修工作，并根据医院工作安排，适度参与医院运维、项目建设等工作。</w:t>
      </w:r>
      <w:bookmarkEnd w:id="0"/>
    </w:p>
    <w:p>
      <w:pPr>
        <w:numPr>
          <w:ilvl w:val="0"/>
          <w:numId w:val="1"/>
        </w:numPr>
        <w:spacing w:line="360" w:lineRule="auto"/>
        <w:ind w:firstLine="480" w:firstLineChars="200"/>
        <w:rPr>
          <w:rFonts w:ascii="仿宋" w:hAnsi="仿宋" w:eastAsia="仿宋"/>
          <w:sz w:val="24"/>
          <w:lang w:bidi="en-US"/>
        </w:rPr>
      </w:pPr>
      <w:r>
        <w:rPr>
          <w:rFonts w:ascii="仿宋" w:hAnsi="仿宋" w:eastAsia="仿宋"/>
          <w:sz w:val="24"/>
          <w:lang w:bidi="en-US"/>
        </w:rPr>
        <w:t>服务方式</w:t>
      </w:r>
      <w:r>
        <w:rPr>
          <w:rFonts w:hint="eastAsia" w:ascii="仿宋" w:hAnsi="仿宋" w:eastAsia="仿宋"/>
          <w:sz w:val="24"/>
          <w:lang w:bidi="en-US"/>
        </w:rPr>
        <w:t>：现场服务（包括且不限于维护、迁移、升级、恢复、重大变更、紧急故障处理等）、远程技术服务（不限电话、网络、邮件等方式）。</w:t>
      </w:r>
    </w:p>
    <w:p>
      <w:pPr>
        <w:numPr>
          <w:ilvl w:val="0"/>
          <w:numId w:val="1"/>
        </w:numPr>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驻场服务：</w:t>
      </w:r>
      <w:r>
        <w:rPr>
          <w:rFonts w:ascii="仿宋" w:hAnsi="仿宋" w:eastAsia="仿宋"/>
          <w:sz w:val="24"/>
          <w:lang w:bidi="en-US"/>
        </w:rPr>
        <w:t>服务期限内，</w:t>
      </w:r>
      <w:r>
        <w:rPr>
          <w:rFonts w:hint="eastAsia" w:ascii="仿宋" w:hAnsi="仿宋" w:eastAsia="仿宋"/>
          <w:sz w:val="24"/>
          <w:lang w:bidi="en-US"/>
        </w:rPr>
        <w:t>服务商应为医院提供一名专职驻场技术工程师，驻场技术工程师需遵守医院工作时间规定，即周一至周五（法定正常工作时间）08:00—18:00专人驻场服务，并按要求开展加班、值班。非工作时间需保持7*24小时电话畅通，随时响应。技术工程师需具备主流存储及服务器厂商中级以上原厂认证证书，且具备两年以上的三甲医院运维服务工作经验。</w:t>
      </w:r>
    </w:p>
    <w:p>
      <w:pPr>
        <w:numPr>
          <w:ilvl w:val="0"/>
          <w:numId w:val="1"/>
        </w:numPr>
        <w:spacing w:line="360" w:lineRule="auto"/>
        <w:ind w:firstLine="480" w:firstLineChars="200"/>
        <w:rPr>
          <w:rFonts w:ascii="仿宋" w:hAnsi="仿宋" w:eastAsia="仿宋"/>
          <w:sz w:val="24"/>
          <w:lang w:bidi="en-US"/>
        </w:rPr>
      </w:pPr>
      <w:r>
        <w:rPr>
          <w:rFonts w:hint="eastAsia" w:ascii="仿宋" w:hAnsi="仿宋" w:eastAsia="仿宋"/>
          <w:sz w:val="24"/>
          <w:lang w:bidi="en-US"/>
        </w:rPr>
        <w:t>涉及</w:t>
      </w:r>
      <w:r>
        <w:rPr>
          <w:rFonts w:ascii="仿宋" w:hAnsi="仿宋" w:eastAsia="仿宋"/>
          <w:sz w:val="24"/>
          <w:lang w:bidi="en-US"/>
        </w:rPr>
        <w:t>零部件更换</w:t>
      </w:r>
      <w:r>
        <w:rPr>
          <w:rFonts w:hint="eastAsia" w:ascii="仿宋" w:hAnsi="仿宋" w:eastAsia="仿宋"/>
          <w:sz w:val="24"/>
          <w:lang w:bidi="en-US"/>
        </w:rPr>
        <w:t>服务要求：服务商对此项服务应提供7*24</w:t>
      </w:r>
      <w:r>
        <w:rPr>
          <w:rFonts w:ascii="仿宋" w:hAnsi="仿宋" w:eastAsia="仿宋"/>
          <w:sz w:val="24"/>
          <w:lang w:bidi="en-US"/>
        </w:rPr>
        <w:t>*365</w:t>
      </w:r>
      <w:r>
        <w:rPr>
          <w:rFonts w:hint="eastAsia" w:ascii="仿宋" w:hAnsi="仿宋" w:eastAsia="仿宋"/>
          <w:sz w:val="24"/>
          <w:lang w:bidi="en-US"/>
        </w:rPr>
        <w:t>小时服务电话支持。故障发生时，服务商工程师需携带备件在4小时内赶到现场进行故障检测、修复工作，并在承诺时间内排除故障并恢复医院生产的正常运行。</w:t>
      </w:r>
    </w:p>
    <w:p>
      <w:pPr>
        <w:numPr>
          <w:ilvl w:val="0"/>
          <w:numId w:val="1"/>
        </w:numPr>
        <w:spacing w:line="360" w:lineRule="auto"/>
        <w:ind w:firstLine="480" w:firstLineChars="200"/>
        <w:rPr>
          <w:rFonts w:ascii="仿宋" w:hAnsi="仿宋" w:eastAsia="仿宋"/>
          <w:sz w:val="24"/>
          <w:lang w:bidi="en-US"/>
        </w:rPr>
      </w:pPr>
      <w:r>
        <w:rPr>
          <w:rFonts w:hint="eastAsia" w:ascii="仿宋" w:hAnsi="仿宋" w:eastAsia="仿宋"/>
          <w:sz w:val="24"/>
          <w:lang w:val="en-US" w:eastAsia="zh-CN" w:bidi="en-US"/>
        </w:rPr>
        <w:t>其他配件如需异地调拨，需在24小时内送达。保证所提供的备件要求外观完整、性能良好；备品备件费用均包含于维保总价内。</w:t>
      </w:r>
    </w:p>
    <w:p>
      <w:pPr>
        <w:numPr>
          <w:ilvl w:val="0"/>
          <w:numId w:val="1"/>
        </w:numPr>
        <w:spacing w:line="360" w:lineRule="auto"/>
        <w:ind w:firstLine="480" w:firstLineChars="200"/>
        <w:rPr>
          <w:rFonts w:ascii="仿宋" w:hAnsi="仿宋" w:eastAsia="仿宋"/>
          <w:sz w:val="24"/>
          <w:lang w:bidi="en-US"/>
        </w:rPr>
      </w:pPr>
      <w:r>
        <w:rPr>
          <w:rFonts w:hint="eastAsia" w:ascii="仿宋" w:hAnsi="仿宋" w:eastAsia="仿宋"/>
          <w:sz w:val="24"/>
          <w:lang w:bidi="en-US"/>
        </w:rPr>
        <w:t>巡检及季度</w:t>
      </w:r>
      <w:r>
        <w:rPr>
          <w:rFonts w:ascii="仿宋" w:hAnsi="仿宋" w:eastAsia="仿宋"/>
          <w:sz w:val="24"/>
          <w:lang w:bidi="en-US"/>
        </w:rPr>
        <w:t>工作报告</w:t>
      </w:r>
      <w:r>
        <w:rPr>
          <w:rFonts w:hint="eastAsia" w:ascii="仿宋" w:hAnsi="仿宋" w:eastAsia="仿宋"/>
          <w:sz w:val="24"/>
          <w:lang w:bidi="en-US"/>
        </w:rPr>
        <w:t>：服务商需安排专业工程师对维护清单内的设备进行月度现场巡检维护，巡检完成后，服务商提交巡检报告，报告中提出的问题需有对应的解决办法；每个季度按时提交季度总结；服务期满服务商需提供项目服务报告，详细陈述设备的运行情况、服务统计、故障处理日志等；若发生重大</w:t>
      </w:r>
      <w:r>
        <w:rPr>
          <w:rFonts w:ascii="仿宋" w:hAnsi="仿宋" w:eastAsia="仿宋"/>
          <w:sz w:val="24"/>
          <w:lang w:bidi="en-US"/>
        </w:rPr>
        <w:t>故障</w:t>
      </w:r>
      <w:r>
        <w:rPr>
          <w:rFonts w:hint="eastAsia" w:ascii="仿宋" w:hAnsi="仿宋" w:eastAsia="仿宋"/>
          <w:sz w:val="24"/>
          <w:lang w:bidi="en-US"/>
        </w:rPr>
        <w:t>后，</w:t>
      </w:r>
      <w:r>
        <w:rPr>
          <w:rFonts w:ascii="仿宋" w:hAnsi="仿宋" w:eastAsia="仿宋"/>
          <w:sz w:val="24"/>
          <w:lang w:bidi="en-US"/>
        </w:rPr>
        <w:t>应在故障修复后5个工作日内提交详细分析报告。</w:t>
      </w:r>
    </w:p>
    <w:p>
      <w:pPr>
        <w:numPr>
          <w:ilvl w:val="0"/>
          <w:numId w:val="1"/>
        </w:numPr>
        <w:spacing w:line="360" w:lineRule="auto"/>
        <w:ind w:firstLine="480" w:firstLineChars="200"/>
        <w:rPr>
          <w:rFonts w:ascii="仿宋" w:hAnsi="仿宋" w:eastAsia="仿宋"/>
          <w:sz w:val="24"/>
          <w:lang w:bidi="en-US"/>
        </w:rPr>
      </w:pPr>
      <w:r>
        <w:rPr>
          <w:rFonts w:ascii="仿宋" w:hAnsi="仿宋" w:eastAsia="仿宋"/>
          <w:sz w:val="24"/>
          <w:lang w:bidi="en-US"/>
        </w:rPr>
        <w:t>技术支持人员</w:t>
      </w:r>
      <w:r>
        <w:rPr>
          <w:rFonts w:hint="eastAsia" w:ascii="仿宋" w:hAnsi="仿宋" w:eastAsia="仿宋"/>
          <w:sz w:val="24"/>
          <w:lang w:bidi="en-US"/>
        </w:rPr>
        <w:t>资质：服务商应具备一个不少于二十人的</w:t>
      </w:r>
      <w:r>
        <w:rPr>
          <w:rFonts w:ascii="仿宋" w:hAnsi="仿宋" w:eastAsia="仿宋"/>
          <w:sz w:val="24"/>
          <w:lang w:bidi="en-US"/>
        </w:rPr>
        <w:t>本地</w:t>
      </w:r>
      <w:r>
        <w:rPr>
          <w:rFonts w:hint="eastAsia" w:ascii="仿宋" w:hAnsi="仿宋" w:eastAsia="仿宋"/>
          <w:sz w:val="24"/>
          <w:lang w:bidi="en-US"/>
        </w:rPr>
        <w:t>工程师团队为医院</w:t>
      </w:r>
      <w:r>
        <w:rPr>
          <w:rFonts w:ascii="仿宋" w:hAnsi="仿宋" w:eastAsia="仿宋"/>
          <w:sz w:val="24"/>
          <w:lang w:bidi="en-US"/>
        </w:rPr>
        <w:t>提供服务</w:t>
      </w:r>
      <w:r>
        <w:rPr>
          <w:rFonts w:hint="eastAsia" w:ascii="仿宋" w:hAnsi="仿宋" w:eastAsia="仿宋"/>
          <w:sz w:val="24"/>
          <w:lang w:bidi="en-US"/>
        </w:rPr>
        <w:t>，相关工程师均应具备主流存储、服务器、网络或安全厂商的中级以上原厂认证，所有技术服务人员均需持证上岗。</w:t>
      </w:r>
    </w:p>
    <w:p>
      <w:pPr>
        <w:numPr>
          <w:ilvl w:val="0"/>
          <w:numId w:val="1"/>
        </w:numPr>
        <w:spacing w:line="360" w:lineRule="auto"/>
        <w:ind w:firstLine="480" w:firstLineChars="200"/>
        <w:rPr>
          <w:rFonts w:ascii="仿宋" w:hAnsi="仿宋" w:eastAsia="仿宋"/>
          <w:sz w:val="24"/>
          <w:lang w:bidi="en-US"/>
        </w:rPr>
      </w:pPr>
      <w:r>
        <w:rPr>
          <w:rFonts w:hint="eastAsia" w:ascii="仿宋" w:hAnsi="仿宋" w:eastAsia="仿宋"/>
          <w:sz w:val="24"/>
          <w:lang w:bidi="en-US"/>
        </w:rPr>
        <w:t>软件bug补丁及重大系统更新：当厂商发布重大补丁时，服务商需提供维护清单中的设备进行补丁升级。</w:t>
      </w:r>
    </w:p>
    <w:p>
      <w:pPr>
        <w:numPr>
          <w:ilvl w:val="0"/>
          <w:numId w:val="1"/>
        </w:numPr>
        <w:spacing w:line="360" w:lineRule="auto"/>
        <w:ind w:firstLine="480" w:firstLineChars="200"/>
        <w:rPr>
          <w:rFonts w:ascii="仿宋" w:hAnsi="仿宋" w:eastAsia="仿宋"/>
          <w:sz w:val="24"/>
          <w:lang w:bidi="en-US"/>
        </w:rPr>
      </w:pPr>
      <w:r>
        <w:rPr>
          <w:rFonts w:hint="eastAsia" w:ascii="仿宋" w:hAnsi="仿宋" w:eastAsia="仿宋"/>
          <w:sz w:val="24"/>
          <w:lang w:bidi="en-US"/>
        </w:rPr>
        <w:t>变更技术支持：提供每年不限次数的配置变更现场支持服务，根据医院实际需要进行分配（包含不限于新项目上线配合：根据医院需求配合进行系统和软件的安装和调试，新需求或新技术实施配合、其他重大和疑难的三方配合）。</w:t>
      </w:r>
    </w:p>
    <w:p>
      <w:pPr>
        <w:numPr>
          <w:ilvl w:val="0"/>
          <w:numId w:val="1"/>
        </w:numPr>
        <w:spacing w:line="360" w:lineRule="auto"/>
        <w:ind w:firstLine="480" w:firstLineChars="200"/>
        <w:rPr>
          <w:rFonts w:ascii="仿宋" w:hAnsi="仿宋" w:eastAsia="仿宋"/>
          <w:sz w:val="24"/>
          <w:lang w:bidi="en-US"/>
        </w:rPr>
      </w:pPr>
      <w:r>
        <w:rPr>
          <w:rFonts w:hint="eastAsia" w:ascii="仿宋" w:hAnsi="仿宋" w:eastAsia="仿宋"/>
          <w:sz w:val="24"/>
          <w:lang w:bidi="en-US"/>
        </w:rPr>
        <w:t>其他维保服务要求：服务商应配合用户完成每年两次的数据中心容灾演练，以确保用户现有双活系统能正常完成业务切换。</w:t>
      </w:r>
    </w:p>
    <w:p>
      <w:pPr>
        <w:numPr>
          <w:ilvl w:val="0"/>
          <w:numId w:val="1"/>
        </w:numPr>
        <w:spacing w:line="360" w:lineRule="auto"/>
        <w:ind w:firstLine="480" w:firstLineChars="200"/>
        <w:rPr>
          <w:rFonts w:ascii="仿宋" w:hAnsi="仿宋" w:eastAsia="仿宋"/>
          <w:sz w:val="24"/>
          <w:lang w:bidi="en-US"/>
        </w:rPr>
      </w:pPr>
      <w:r>
        <w:rPr>
          <w:rFonts w:hint="eastAsia" w:ascii="仿宋" w:hAnsi="仿宋" w:eastAsia="仿宋"/>
          <w:sz w:val="24"/>
          <w:lang w:bidi="en-US"/>
        </w:rPr>
        <w:t>文档要求：</w:t>
      </w:r>
    </w:p>
    <w:tbl>
      <w:tblPr>
        <w:tblStyle w:val="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4"/>
        <w:gridCol w:w="3266"/>
        <w:gridCol w:w="1752"/>
        <w:gridCol w:w="1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29" w:type="pct"/>
            <w:vAlign w:val="center"/>
          </w:tcPr>
          <w:p>
            <w:pPr>
              <w:jc w:val="center"/>
              <w:rPr>
                <w:rFonts w:ascii="仿宋" w:hAnsi="仿宋" w:eastAsia="仿宋" w:cs="等线"/>
                <w:b/>
                <w:bCs/>
                <w:color w:val="000000"/>
                <w:sz w:val="24"/>
              </w:rPr>
            </w:pPr>
            <w:r>
              <w:rPr>
                <w:rFonts w:hint="eastAsia" w:ascii="仿宋" w:hAnsi="仿宋" w:eastAsia="仿宋" w:cs="等线"/>
                <w:b/>
                <w:bCs/>
                <w:color w:val="000000"/>
                <w:sz w:val="24"/>
              </w:rPr>
              <w:t>文档名称</w:t>
            </w:r>
          </w:p>
        </w:tc>
        <w:tc>
          <w:tcPr>
            <w:tcW w:w="1916" w:type="pct"/>
            <w:vAlign w:val="center"/>
          </w:tcPr>
          <w:p>
            <w:pPr>
              <w:jc w:val="center"/>
              <w:rPr>
                <w:rFonts w:ascii="仿宋" w:hAnsi="仿宋" w:eastAsia="仿宋" w:cs="等线"/>
                <w:b/>
                <w:bCs/>
                <w:color w:val="000000"/>
                <w:sz w:val="24"/>
              </w:rPr>
            </w:pPr>
            <w:r>
              <w:rPr>
                <w:rFonts w:hint="eastAsia" w:ascii="仿宋" w:hAnsi="仿宋" w:eastAsia="仿宋" w:cs="等线"/>
                <w:b/>
                <w:bCs/>
                <w:color w:val="000000"/>
                <w:sz w:val="24"/>
              </w:rPr>
              <w:t>内容</w:t>
            </w:r>
            <w:r>
              <w:rPr>
                <w:rFonts w:hint="eastAsia" w:ascii="仿宋" w:hAnsi="仿宋" w:eastAsia="仿宋"/>
                <w:b/>
                <w:bCs/>
                <w:color w:val="000000"/>
                <w:sz w:val="24"/>
              </w:rPr>
              <w:t>概要</w:t>
            </w:r>
          </w:p>
        </w:tc>
        <w:tc>
          <w:tcPr>
            <w:tcW w:w="1028" w:type="pct"/>
            <w:vAlign w:val="center"/>
          </w:tcPr>
          <w:p>
            <w:pPr>
              <w:jc w:val="center"/>
              <w:rPr>
                <w:rFonts w:ascii="仿宋" w:hAnsi="仿宋" w:eastAsia="仿宋" w:cs="等线"/>
                <w:b/>
                <w:bCs/>
                <w:color w:val="000000"/>
                <w:sz w:val="24"/>
              </w:rPr>
            </w:pPr>
            <w:r>
              <w:rPr>
                <w:rFonts w:hint="eastAsia" w:ascii="仿宋" w:hAnsi="仿宋" w:eastAsia="仿宋" w:cs="等线"/>
                <w:b/>
                <w:bCs/>
                <w:color w:val="000000"/>
                <w:sz w:val="24"/>
              </w:rPr>
              <w:t>频次</w:t>
            </w:r>
          </w:p>
        </w:tc>
        <w:tc>
          <w:tcPr>
            <w:tcW w:w="1027" w:type="pct"/>
            <w:vAlign w:val="center"/>
          </w:tcPr>
          <w:p>
            <w:pPr>
              <w:jc w:val="center"/>
              <w:rPr>
                <w:rFonts w:ascii="仿宋" w:hAnsi="仿宋" w:eastAsia="仿宋" w:cs="等线"/>
                <w:b/>
                <w:bCs/>
                <w:color w:val="000000"/>
                <w:sz w:val="24"/>
              </w:rPr>
            </w:pPr>
            <w:r>
              <w:rPr>
                <w:rFonts w:hint="eastAsia" w:ascii="仿宋" w:hAnsi="仿宋" w:eastAsia="仿宋" w:cs="等线"/>
                <w:b/>
                <w:bCs/>
                <w:color w:val="00000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pct"/>
            <w:vAlign w:val="center"/>
          </w:tcPr>
          <w:p>
            <w:pPr>
              <w:jc w:val="center"/>
              <w:rPr>
                <w:rFonts w:ascii="仿宋" w:hAnsi="仿宋" w:eastAsia="仿宋" w:cs="等线"/>
                <w:color w:val="000000"/>
                <w:sz w:val="24"/>
              </w:rPr>
            </w:pPr>
            <w:r>
              <w:rPr>
                <w:rFonts w:hint="eastAsia" w:ascii="仿宋" w:hAnsi="仿宋" w:eastAsia="仿宋" w:cs="等线"/>
                <w:color w:val="000000"/>
                <w:sz w:val="24"/>
              </w:rPr>
              <w:t>数据中心拓扑图</w:t>
            </w:r>
          </w:p>
        </w:tc>
        <w:tc>
          <w:tcPr>
            <w:tcW w:w="1916" w:type="pct"/>
            <w:vAlign w:val="center"/>
          </w:tcPr>
          <w:p>
            <w:pPr>
              <w:jc w:val="center"/>
              <w:rPr>
                <w:rFonts w:ascii="仿宋" w:hAnsi="仿宋" w:eastAsia="仿宋" w:cs="等线"/>
                <w:color w:val="000000"/>
                <w:sz w:val="24"/>
              </w:rPr>
            </w:pPr>
            <w:r>
              <w:rPr>
                <w:rFonts w:hint="eastAsia" w:ascii="仿宋" w:hAnsi="仿宋" w:eastAsia="仿宋" w:cs="宋体"/>
                <w:color w:val="000000"/>
                <w:sz w:val="24"/>
              </w:rPr>
              <w:t>成都市第五人民医院主副数据中心的拓扑图。需包括数据中心内的所有服务器、存储、网络和安全设备</w:t>
            </w:r>
          </w:p>
        </w:tc>
        <w:tc>
          <w:tcPr>
            <w:tcW w:w="1028" w:type="pct"/>
            <w:vAlign w:val="center"/>
          </w:tcPr>
          <w:p>
            <w:pPr>
              <w:jc w:val="center"/>
              <w:rPr>
                <w:rFonts w:ascii="仿宋" w:hAnsi="仿宋" w:eastAsia="仿宋" w:cs="等线"/>
                <w:color w:val="000000"/>
                <w:sz w:val="24"/>
              </w:rPr>
            </w:pPr>
            <w:r>
              <w:rPr>
                <w:rFonts w:hint="eastAsia" w:ascii="仿宋" w:hAnsi="仿宋" w:eastAsia="仿宋" w:cs="等线"/>
                <w:color w:val="000000"/>
                <w:sz w:val="24"/>
              </w:rPr>
              <w:t>实时更新，每月未提交更新说明</w:t>
            </w:r>
          </w:p>
        </w:tc>
        <w:tc>
          <w:tcPr>
            <w:tcW w:w="1027" w:type="pct"/>
            <w:vAlign w:val="center"/>
          </w:tcPr>
          <w:p>
            <w:pPr>
              <w:jc w:val="center"/>
              <w:rPr>
                <w:rFonts w:ascii="仿宋" w:hAnsi="仿宋" w:eastAsia="仿宋" w:cs="等线"/>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pct"/>
            <w:vAlign w:val="center"/>
          </w:tcPr>
          <w:p>
            <w:pPr>
              <w:jc w:val="center"/>
              <w:rPr>
                <w:rFonts w:ascii="仿宋" w:hAnsi="仿宋" w:eastAsia="仿宋" w:cs="等线"/>
                <w:color w:val="000000"/>
                <w:sz w:val="24"/>
              </w:rPr>
            </w:pPr>
            <w:r>
              <w:rPr>
                <w:rFonts w:hint="eastAsia" w:ascii="仿宋" w:hAnsi="仿宋" w:eastAsia="仿宋" w:cs="等线"/>
                <w:color w:val="000000"/>
                <w:sz w:val="24"/>
              </w:rPr>
              <w:t>数据中心机柜设备分布图</w:t>
            </w:r>
          </w:p>
        </w:tc>
        <w:tc>
          <w:tcPr>
            <w:tcW w:w="1916" w:type="pct"/>
            <w:vAlign w:val="center"/>
          </w:tcPr>
          <w:p>
            <w:pPr>
              <w:jc w:val="center"/>
              <w:rPr>
                <w:rFonts w:ascii="仿宋" w:hAnsi="仿宋" w:eastAsia="仿宋" w:cs="等线"/>
                <w:color w:val="000000"/>
                <w:sz w:val="24"/>
              </w:rPr>
            </w:pPr>
            <w:r>
              <w:rPr>
                <w:rFonts w:hint="eastAsia" w:ascii="仿宋" w:hAnsi="仿宋" w:eastAsia="仿宋" w:cs="等线"/>
                <w:color w:val="000000"/>
                <w:sz w:val="24"/>
              </w:rPr>
              <w:t>成都市第五人民医院主副数据中心机柜内设备安装位置图</w:t>
            </w:r>
          </w:p>
        </w:tc>
        <w:tc>
          <w:tcPr>
            <w:tcW w:w="1028" w:type="pct"/>
            <w:vAlign w:val="center"/>
          </w:tcPr>
          <w:p>
            <w:pPr>
              <w:jc w:val="center"/>
              <w:rPr>
                <w:rFonts w:ascii="仿宋" w:hAnsi="仿宋" w:eastAsia="仿宋" w:cs="等线"/>
                <w:color w:val="000000"/>
                <w:sz w:val="24"/>
              </w:rPr>
            </w:pPr>
            <w:r>
              <w:rPr>
                <w:rFonts w:hint="eastAsia" w:ascii="仿宋" w:hAnsi="仿宋" w:eastAsia="仿宋" w:cs="等线"/>
                <w:color w:val="000000"/>
                <w:sz w:val="24"/>
              </w:rPr>
              <w:t>实时更新，每月未提交更新说明</w:t>
            </w:r>
          </w:p>
        </w:tc>
        <w:tc>
          <w:tcPr>
            <w:tcW w:w="1027" w:type="pct"/>
            <w:vAlign w:val="center"/>
          </w:tcPr>
          <w:p>
            <w:pPr>
              <w:jc w:val="center"/>
              <w:rPr>
                <w:rFonts w:ascii="仿宋" w:hAnsi="仿宋" w:eastAsia="仿宋" w:cs="等线"/>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pct"/>
            <w:vAlign w:val="center"/>
          </w:tcPr>
          <w:p>
            <w:pPr>
              <w:jc w:val="center"/>
              <w:rPr>
                <w:rFonts w:hint="eastAsia" w:ascii="仿宋" w:hAnsi="仿宋" w:eastAsia="仿宋" w:cs="等线"/>
                <w:color w:val="000000"/>
                <w:sz w:val="24"/>
              </w:rPr>
            </w:pPr>
            <w:r>
              <w:rPr>
                <w:rFonts w:hint="eastAsia" w:ascii="仿宋" w:hAnsi="仿宋" w:eastAsia="仿宋" w:cs="等线"/>
                <w:color w:val="000000"/>
                <w:sz w:val="24"/>
              </w:rPr>
              <w:t>医院业务系统</w:t>
            </w:r>
            <w:r>
              <w:rPr>
                <w:rFonts w:hint="eastAsia" w:ascii="仿宋" w:hAnsi="仿宋" w:eastAsia="仿宋"/>
                <w:sz w:val="24"/>
                <w:lang w:bidi="en-US"/>
              </w:rPr>
              <w:t>逻辑架构报告</w:t>
            </w:r>
          </w:p>
        </w:tc>
        <w:tc>
          <w:tcPr>
            <w:tcW w:w="1916" w:type="pct"/>
            <w:vAlign w:val="center"/>
          </w:tcPr>
          <w:p>
            <w:pPr>
              <w:jc w:val="center"/>
              <w:rPr>
                <w:rFonts w:hint="eastAsia" w:ascii="仿宋" w:hAnsi="仿宋" w:eastAsia="仿宋" w:cs="等线"/>
                <w:color w:val="000000"/>
                <w:sz w:val="24"/>
              </w:rPr>
            </w:pPr>
            <w:r>
              <w:rPr>
                <w:rFonts w:hint="eastAsia" w:ascii="仿宋" w:hAnsi="仿宋" w:eastAsia="仿宋"/>
                <w:sz w:val="24"/>
                <w:lang w:bidi="en-US"/>
              </w:rPr>
              <w:t>包含准确的业务逻辑依存关系拓扑图（包括软件、硬件、中间件等组件）和资源占用情况</w:t>
            </w:r>
          </w:p>
        </w:tc>
        <w:tc>
          <w:tcPr>
            <w:tcW w:w="1028" w:type="pct"/>
            <w:vAlign w:val="center"/>
          </w:tcPr>
          <w:p>
            <w:pPr>
              <w:jc w:val="center"/>
              <w:rPr>
                <w:rFonts w:hint="eastAsia" w:ascii="仿宋" w:hAnsi="仿宋" w:eastAsia="仿宋" w:cs="等线"/>
                <w:color w:val="000000"/>
                <w:sz w:val="24"/>
              </w:rPr>
            </w:pPr>
            <w:r>
              <w:rPr>
                <w:rFonts w:hint="eastAsia" w:ascii="仿宋" w:hAnsi="仿宋" w:eastAsia="仿宋" w:cs="等线"/>
                <w:color w:val="000000"/>
                <w:sz w:val="24"/>
              </w:rPr>
              <w:t>实时更新，每月未提交更新说明</w:t>
            </w:r>
          </w:p>
        </w:tc>
        <w:tc>
          <w:tcPr>
            <w:tcW w:w="1027" w:type="pct"/>
            <w:vAlign w:val="center"/>
          </w:tcPr>
          <w:p>
            <w:pPr>
              <w:jc w:val="center"/>
              <w:rPr>
                <w:rFonts w:ascii="仿宋" w:hAnsi="仿宋" w:eastAsia="仿宋" w:cs="等线"/>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pct"/>
            <w:vAlign w:val="center"/>
          </w:tcPr>
          <w:p>
            <w:pPr>
              <w:jc w:val="center"/>
              <w:rPr>
                <w:rFonts w:ascii="仿宋" w:hAnsi="仿宋" w:eastAsia="仿宋" w:cs="等线"/>
                <w:color w:val="000000"/>
                <w:sz w:val="24"/>
              </w:rPr>
            </w:pPr>
            <w:r>
              <w:rPr>
                <w:rFonts w:hint="eastAsia" w:ascii="仿宋" w:hAnsi="仿宋" w:eastAsia="仿宋" w:cs="等线"/>
                <w:color w:val="000000"/>
                <w:sz w:val="24"/>
              </w:rPr>
              <w:t>故障处理服务确认单</w:t>
            </w:r>
          </w:p>
        </w:tc>
        <w:tc>
          <w:tcPr>
            <w:tcW w:w="1916" w:type="pct"/>
            <w:vAlign w:val="center"/>
          </w:tcPr>
          <w:p>
            <w:pPr>
              <w:jc w:val="center"/>
              <w:rPr>
                <w:rFonts w:ascii="仿宋" w:hAnsi="仿宋" w:eastAsia="仿宋" w:cs="等线"/>
                <w:color w:val="000000"/>
                <w:sz w:val="24"/>
              </w:rPr>
            </w:pPr>
            <w:r>
              <w:rPr>
                <w:rFonts w:hint="eastAsia" w:ascii="仿宋" w:hAnsi="仿宋" w:eastAsia="仿宋" w:cs="等线"/>
                <w:color w:val="000000"/>
                <w:sz w:val="24"/>
              </w:rPr>
              <w:t>故障现象、处理过程、结论及处理方法</w:t>
            </w:r>
          </w:p>
        </w:tc>
        <w:tc>
          <w:tcPr>
            <w:tcW w:w="1028" w:type="pct"/>
            <w:vAlign w:val="center"/>
          </w:tcPr>
          <w:p>
            <w:pPr>
              <w:jc w:val="center"/>
              <w:rPr>
                <w:rFonts w:ascii="仿宋" w:hAnsi="仿宋" w:eastAsia="仿宋" w:cs="等线"/>
                <w:color w:val="000000"/>
                <w:sz w:val="24"/>
              </w:rPr>
            </w:pPr>
            <w:r>
              <w:rPr>
                <w:rFonts w:hint="eastAsia" w:ascii="仿宋" w:hAnsi="仿宋" w:eastAsia="仿宋" w:cs="等线"/>
                <w:color w:val="000000"/>
                <w:sz w:val="24"/>
              </w:rPr>
              <w:t>实时更新，每周报未提交故障处理服务确认单</w:t>
            </w:r>
          </w:p>
        </w:tc>
        <w:tc>
          <w:tcPr>
            <w:tcW w:w="1027" w:type="pct"/>
            <w:vAlign w:val="center"/>
          </w:tcPr>
          <w:p>
            <w:pPr>
              <w:jc w:val="center"/>
              <w:rPr>
                <w:rFonts w:ascii="仿宋" w:hAnsi="仿宋" w:eastAsia="仿宋" w:cs="等线"/>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pct"/>
            <w:vAlign w:val="center"/>
          </w:tcPr>
          <w:p>
            <w:pPr>
              <w:jc w:val="center"/>
              <w:rPr>
                <w:rFonts w:ascii="仿宋" w:hAnsi="仿宋" w:eastAsia="仿宋" w:cs="等线"/>
                <w:color w:val="000000"/>
                <w:sz w:val="24"/>
              </w:rPr>
            </w:pPr>
            <w:r>
              <w:rPr>
                <w:rFonts w:hint="eastAsia" w:ascii="仿宋" w:hAnsi="仿宋" w:eastAsia="仿宋" w:cs="等线"/>
                <w:color w:val="000000"/>
                <w:sz w:val="24"/>
              </w:rPr>
              <w:t>平台工作周报</w:t>
            </w:r>
          </w:p>
        </w:tc>
        <w:tc>
          <w:tcPr>
            <w:tcW w:w="1916" w:type="pct"/>
            <w:vAlign w:val="center"/>
          </w:tcPr>
          <w:p>
            <w:pPr>
              <w:jc w:val="center"/>
              <w:rPr>
                <w:rFonts w:ascii="仿宋" w:hAnsi="仿宋" w:eastAsia="仿宋" w:cs="等线"/>
                <w:color w:val="000000"/>
                <w:sz w:val="24"/>
              </w:rPr>
            </w:pPr>
            <w:r>
              <w:rPr>
                <w:rFonts w:hint="eastAsia" w:ascii="仿宋" w:hAnsi="仿宋" w:eastAsia="仿宋" w:cs="等线"/>
                <w:color w:val="000000"/>
                <w:sz w:val="24"/>
              </w:rPr>
              <w:t>本周事务信息记录</w:t>
            </w:r>
          </w:p>
        </w:tc>
        <w:tc>
          <w:tcPr>
            <w:tcW w:w="1028" w:type="pct"/>
            <w:vAlign w:val="center"/>
          </w:tcPr>
          <w:p>
            <w:pPr>
              <w:jc w:val="center"/>
              <w:rPr>
                <w:rFonts w:ascii="仿宋" w:hAnsi="仿宋" w:eastAsia="仿宋" w:cs="等线"/>
                <w:color w:val="000000"/>
                <w:sz w:val="24"/>
              </w:rPr>
            </w:pPr>
            <w:r>
              <w:rPr>
                <w:rFonts w:hint="eastAsia" w:ascii="仿宋" w:hAnsi="仿宋" w:eastAsia="仿宋" w:cs="等线"/>
                <w:color w:val="000000"/>
                <w:sz w:val="24"/>
              </w:rPr>
              <w:t>每周五以电子邮件方式发给相关人员</w:t>
            </w:r>
          </w:p>
        </w:tc>
        <w:tc>
          <w:tcPr>
            <w:tcW w:w="1027" w:type="pct"/>
            <w:vAlign w:val="center"/>
          </w:tcPr>
          <w:p>
            <w:pPr>
              <w:jc w:val="center"/>
              <w:rPr>
                <w:rFonts w:ascii="仿宋" w:hAnsi="仿宋" w:eastAsia="仿宋" w:cs="等线"/>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pct"/>
            <w:vAlign w:val="center"/>
          </w:tcPr>
          <w:p>
            <w:pPr>
              <w:jc w:val="center"/>
              <w:rPr>
                <w:rFonts w:ascii="仿宋" w:hAnsi="仿宋" w:eastAsia="仿宋" w:cs="等线"/>
                <w:color w:val="000000"/>
                <w:sz w:val="24"/>
              </w:rPr>
            </w:pPr>
            <w:r>
              <w:rPr>
                <w:rFonts w:hint="eastAsia" w:ascii="仿宋" w:hAnsi="仿宋" w:eastAsia="仿宋" w:cs="等线"/>
                <w:color w:val="000000"/>
                <w:sz w:val="24"/>
              </w:rPr>
              <w:t>工作月报</w:t>
            </w:r>
          </w:p>
        </w:tc>
        <w:tc>
          <w:tcPr>
            <w:tcW w:w="1916" w:type="pct"/>
            <w:vAlign w:val="center"/>
          </w:tcPr>
          <w:p>
            <w:pPr>
              <w:jc w:val="center"/>
              <w:rPr>
                <w:rFonts w:ascii="仿宋" w:hAnsi="仿宋" w:eastAsia="仿宋" w:cs="等线"/>
                <w:color w:val="000000"/>
                <w:sz w:val="24"/>
              </w:rPr>
            </w:pPr>
            <w:r>
              <w:rPr>
                <w:rFonts w:hint="eastAsia" w:ascii="仿宋" w:hAnsi="仿宋" w:eastAsia="仿宋" w:cs="等线"/>
                <w:color w:val="000000"/>
                <w:sz w:val="24"/>
              </w:rPr>
              <w:t>本月工作总结汇报</w:t>
            </w:r>
          </w:p>
        </w:tc>
        <w:tc>
          <w:tcPr>
            <w:tcW w:w="1028" w:type="pct"/>
            <w:vAlign w:val="center"/>
          </w:tcPr>
          <w:p>
            <w:pPr>
              <w:jc w:val="center"/>
              <w:rPr>
                <w:rFonts w:ascii="仿宋" w:hAnsi="仿宋" w:eastAsia="仿宋" w:cs="等线"/>
                <w:color w:val="000000"/>
                <w:sz w:val="24"/>
              </w:rPr>
            </w:pPr>
            <w:r>
              <w:rPr>
                <w:rFonts w:hint="eastAsia" w:ascii="仿宋" w:hAnsi="仿宋" w:eastAsia="仿宋" w:cs="等线"/>
                <w:color w:val="000000"/>
                <w:sz w:val="24"/>
              </w:rPr>
              <w:t>每月底提交本月工作总结，同时以</w:t>
            </w:r>
            <w:r>
              <w:rPr>
                <w:rFonts w:ascii="仿宋" w:hAnsi="仿宋" w:eastAsia="仿宋" w:cs="等线"/>
                <w:color w:val="000000"/>
                <w:sz w:val="24"/>
              </w:rPr>
              <w:t>PPT</w:t>
            </w:r>
            <w:r>
              <w:rPr>
                <w:rFonts w:hint="eastAsia" w:ascii="仿宋" w:hAnsi="仿宋" w:eastAsia="仿宋" w:cs="等线"/>
                <w:color w:val="000000"/>
                <w:sz w:val="24"/>
              </w:rPr>
              <w:t>方式进行现场汇报</w:t>
            </w:r>
          </w:p>
        </w:tc>
        <w:tc>
          <w:tcPr>
            <w:tcW w:w="1027" w:type="pct"/>
            <w:vAlign w:val="center"/>
          </w:tcPr>
          <w:p>
            <w:pPr>
              <w:jc w:val="center"/>
              <w:rPr>
                <w:rFonts w:ascii="仿宋" w:hAnsi="仿宋" w:eastAsia="仿宋" w:cs="等线"/>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pct"/>
            <w:vAlign w:val="center"/>
          </w:tcPr>
          <w:p>
            <w:pPr>
              <w:jc w:val="center"/>
              <w:rPr>
                <w:rFonts w:ascii="仿宋" w:hAnsi="仿宋" w:eastAsia="仿宋" w:cs="等线"/>
                <w:color w:val="000000"/>
                <w:sz w:val="24"/>
              </w:rPr>
            </w:pPr>
            <w:r>
              <w:rPr>
                <w:rFonts w:hint="eastAsia" w:ascii="仿宋" w:hAnsi="仿宋" w:eastAsia="仿宋" w:cs="等线"/>
                <w:color w:val="000000"/>
                <w:sz w:val="24"/>
              </w:rPr>
              <w:t>培训记录表</w:t>
            </w:r>
          </w:p>
        </w:tc>
        <w:tc>
          <w:tcPr>
            <w:tcW w:w="1916" w:type="pct"/>
            <w:vAlign w:val="center"/>
          </w:tcPr>
          <w:p>
            <w:pPr>
              <w:jc w:val="center"/>
              <w:rPr>
                <w:rFonts w:ascii="仿宋" w:hAnsi="仿宋" w:eastAsia="仿宋" w:cs="等线"/>
                <w:color w:val="000000"/>
                <w:sz w:val="24"/>
              </w:rPr>
            </w:pPr>
            <w:r>
              <w:rPr>
                <w:rFonts w:hint="eastAsia" w:ascii="仿宋" w:hAnsi="仿宋" w:eastAsia="仿宋" w:cs="等线"/>
                <w:color w:val="000000"/>
                <w:sz w:val="24"/>
              </w:rPr>
              <w:t>每季度需针对医院信息中心相关人员进行技术培训</w:t>
            </w:r>
          </w:p>
        </w:tc>
        <w:tc>
          <w:tcPr>
            <w:tcW w:w="1028" w:type="pct"/>
            <w:vAlign w:val="center"/>
          </w:tcPr>
          <w:p>
            <w:pPr>
              <w:jc w:val="center"/>
              <w:rPr>
                <w:rFonts w:ascii="仿宋" w:hAnsi="仿宋" w:eastAsia="仿宋" w:cs="等线"/>
                <w:color w:val="000000"/>
                <w:sz w:val="24"/>
              </w:rPr>
            </w:pPr>
            <w:r>
              <w:rPr>
                <w:rFonts w:hint="eastAsia" w:ascii="仿宋" w:hAnsi="仿宋" w:eastAsia="仿宋" w:cs="等线"/>
                <w:color w:val="000000"/>
                <w:sz w:val="24"/>
              </w:rPr>
              <w:t>每季度一次，每次培训时间不得低于</w:t>
            </w:r>
            <w:r>
              <w:rPr>
                <w:rFonts w:ascii="仿宋" w:hAnsi="仿宋" w:eastAsia="仿宋" w:cs="等线"/>
                <w:color w:val="000000"/>
                <w:sz w:val="24"/>
              </w:rPr>
              <w:t>8小时</w:t>
            </w:r>
          </w:p>
        </w:tc>
        <w:tc>
          <w:tcPr>
            <w:tcW w:w="1027" w:type="pct"/>
            <w:vAlign w:val="center"/>
          </w:tcPr>
          <w:p>
            <w:pPr>
              <w:jc w:val="center"/>
              <w:rPr>
                <w:rFonts w:ascii="仿宋" w:hAnsi="仿宋" w:eastAsia="仿宋" w:cs="等线"/>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pct"/>
            <w:vAlign w:val="center"/>
          </w:tcPr>
          <w:p>
            <w:pPr>
              <w:jc w:val="center"/>
              <w:rPr>
                <w:rFonts w:ascii="仿宋" w:hAnsi="仿宋" w:eastAsia="仿宋" w:cs="等线"/>
                <w:color w:val="000000"/>
                <w:sz w:val="24"/>
              </w:rPr>
            </w:pPr>
            <w:r>
              <w:rPr>
                <w:rFonts w:hint="eastAsia" w:ascii="仿宋" w:hAnsi="仿宋" w:eastAsia="仿宋" w:cs="等线"/>
                <w:color w:val="000000"/>
                <w:sz w:val="24"/>
              </w:rPr>
              <w:t>数据中心巡检记录表</w:t>
            </w:r>
          </w:p>
        </w:tc>
        <w:tc>
          <w:tcPr>
            <w:tcW w:w="1916" w:type="pct"/>
            <w:vAlign w:val="center"/>
          </w:tcPr>
          <w:p>
            <w:pPr>
              <w:jc w:val="center"/>
              <w:rPr>
                <w:rFonts w:ascii="仿宋" w:hAnsi="仿宋" w:eastAsia="仿宋" w:cs="等线"/>
                <w:color w:val="000000"/>
                <w:sz w:val="24"/>
              </w:rPr>
            </w:pPr>
            <w:r>
              <w:rPr>
                <w:rFonts w:hint="eastAsia" w:ascii="仿宋" w:hAnsi="仿宋" w:eastAsia="仿宋" w:cs="等线"/>
                <w:color w:val="000000"/>
                <w:sz w:val="24"/>
              </w:rPr>
              <w:t>主副数据中心巡检（</w:t>
            </w:r>
          </w:p>
          <w:p>
            <w:pPr>
              <w:jc w:val="center"/>
              <w:rPr>
                <w:rFonts w:ascii="仿宋" w:hAnsi="仿宋" w:eastAsia="仿宋" w:cs="等线"/>
                <w:color w:val="000000"/>
                <w:sz w:val="24"/>
              </w:rPr>
            </w:pPr>
            <w:r>
              <w:rPr>
                <w:rFonts w:hint="eastAsia" w:ascii="仿宋" w:hAnsi="仿宋" w:eastAsia="仿宋" w:cs="等线"/>
                <w:color w:val="000000"/>
                <w:sz w:val="24"/>
              </w:rPr>
              <w:t>服务器、磁盘阵列、核心交换机、数据中心交换机、光纤交换机）</w:t>
            </w:r>
          </w:p>
        </w:tc>
        <w:tc>
          <w:tcPr>
            <w:tcW w:w="1028" w:type="pct"/>
            <w:vAlign w:val="center"/>
          </w:tcPr>
          <w:p>
            <w:pPr>
              <w:jc w:val="center"/>
              <w:rPr>
                <w:rFonts w:ascii="仿宋" w:hAnsi="仿宋" w:eastAsia="仿宋" w:cs="等线"/>
                <w:color w:val="000000"/>
                <w:sz w:val="24"/>
              </w:rPr>
            </w:pPr>
            <w:r>
              <w:rPr>
                <w:rFonts w:hint="eastAsia" w:ascii="仿宋" w:hAnsi="仿宋" w:eastAsia="仿宋" w:cs="等线"/>
                <w:color w:val="000000"/>
                <w:sz w:val="24"/>
              </w:rPr>
              <w:t>每</w:t>
            </w:r>
            <w:r>
              <w:rPr>
                <w:rFonts w:hint="eastAsia" w:ascii="仿宋" w:hAnsi="仿宋" w:eastAsia="仿宋" w:cs="等线"/>
                <w:color w:val="000000"/>
                <w:sz w:val="24"/>
                <w:lang w:val="en-US" w:eastAsia="zh-CN"/>
              </w:rPr>
              <w:t>2周</w:t>
            </w:r>
            <w:r>
              <w:rPr>
                <w:rFonts w:hint="eastAsia" w:ascii="仿宋" w:hAnsi="仿宋" w:eastAsia="仿宋" w:cs="等线"/>
                <w:color w:val="000000"/>
                <w:sz w:val="24"/>
              </w:rPr>
              <w:t>巡检并纪录</w:t>
            </w:r>
          </w:p>
        </w:tc>
        <w:tc>
          <w:tcPr>
            <w:tcW w:w="1027" w:type="pct"/>
            <w:vAlign w:val="center"/>
          </w:tcPr>
          <w:p>
            <w:pPr>
              <w:jc w:val="center"/>
              <w:rPr>
                <w:rFonts w:ascii="仿宋" w:hAnsi="仿宋" w:eastAsia="仿宋" w:cs="等线"/>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pct"/>
            <w:vAlign w:val="center"/>
          </w:tcPr>
          <w:p>
            <w:pPr>
              <w:jc w:val="center"/>
              <w:rPr>
                <w:rFonts w:ascii="仿宋" w:hAnsi="仿宋" w:eastAsia="仿宋" w:cs="等线"/>
                <w:color w:val="000000"/>
                <w:sz w:val="24"/>
              </w:rPr>
            </w:pPr>
            <w:r>
              <w:rPr>
                <w:rFonts w:hint="eastAsia" w:ascii="仿宋" w:hAnsi="仿宋" w:eastAsia="仿宋" w:cs="等线"/>
                <w:color w:val="000000"/>
                <w:sz w:val="24"/>
              </w:rPr>
              <w:t>数据中心日志分析记录表</w:t>
            </w:r>
          </w:p>
        </w:tc>
        <w:tc>
          <w:tcPr>
            <w:tcW w:w="1916" w:type="pct"/>
            <w:vAlign w:val="center"/>
          </w:tcPr>
          <w:p>
            <w:pPr>
              <w:jc w:val="center"/>
              <w:rPr>
                <w:rFonts w:ascii="仿宋" w:hAnsi="仿宋" w:eastAsia="仿宋" w:cs="等线"/>
                <w:color w:val="000000"/>
                <w:sz w:val="24"/>
              </w:rPr>
            </w:pPr>
            <w:r>
              <w:rPr>
                <w:rFonts w:hint="eastAsia" w:ascii="仿宋" w:hAnsi="仿宋" w:eastAsia="仿宋" w:cs="等线"/>
                <w:color w:val="000000"/>
                <w:sz w:val="24"/>
              </w:rPr>
              <w:t>主副数据中心巡检（</w:t>
            </w:r>
          </w:p>
          <w:p>
            <w:pPr>
              <w:jc w:val="center"/>
              <w:rPr>
                <w:rFonts w:ascii="仿宋" w:hAnsi="仿宋" w:eastAsia="仿宋" w:cs="等线"/>
                <w:color w:val="000000"/>
                <w:sz w:val="24"/>
              </w:rPr>
            </w:pPr>
            <w:r>
              <w:rPr>
                <w:rFonts w:hint="eastAsia" w:ascii="仿宋" w:hAnsi="仿宋" w:eastAsia="仿宋" w:cs="等线"/>
                <w:color w:val="000000"/>
                <w:sz w:val="24"/>
              </w:rPr>
              <w:t>服务器、磁盘阵列、核心交换机、数据中心交换机、光纤交换机）</w:t>
            </w:r>
          </w:p>
        </w:tc>
        <w:tc>
          <w:tcPr>
            <w:tcW w:w="1028" w:type="pct"/>
            <w:vAlign w:val="center"/>
          </w:tcPr>
          <w:p>
            <w:pPr>
              <w:jc w:val="center"/>
              <w:rPr>
                <w:rFonts w:ascii="仿宋" w:hAnsi="仿宋" w:eastAsia="仿宋" w:cs="等线"/>
                <w:color w:val="000000"/>
                <w:sz w:val="24"/>
              </w:rPr>
            </w:pPr>
            <w:r>
              <w:rPr>
                <w:rFonts w:hint="eastAsia" w:ascii="仿宋" w:hAnsi="仿宋" w:eastAsia="仿宋" w:cs="等线"/>
                <w:color w:val="000000"/>
                <w:sz w:val="24"/>
              </w:rPr>
              <w:t>每</w:t>
            </w:r>
            <w:r>
              <w:rPr>
                <w:rFonts w:hint="eastAsia" w:ascii="仿宋" w:hAnsi="仿宋" w:eastAsia="仿宋" w:cs="等线"/>
                <w:color w:val="000000"/>
                <w:sz w:val="24"/>
                <w:lang w:val="en-US" w:eastAsia="zh-CN"/>
              </w:rPr>
              <w:t>月</w:t>
            </w:r>
            <w:r>
              <w:rPr>
                <w:rFonts w:hint="eastAsia" w:ascii="仿宋" w:hAnsi="仿宋" w:eastAsia="仿宋" w:cs="等线"/>
                <w:color w:val="000000"/>
                <w:sz w:val="24"/>
              </w:rPr>
              <w:t>提取日志分析并纪录</w:t>
            </w:r>
          </w:p>
        </w:tc>
        <w:tc>
          <w:tcPr>
            <w:tcW w:w="1027" w:type="pct"/>
            <w:vAlign w:val="center"/>
          </w:tcPr>
          <w:p>
            <w:pPr>
              <w:jc w:val="center"/>
              <w:rPr>
                <w:rFonts w:ascii="仿宋" w:hAnsi="仿宋" w:eastAsia="仿宋" w:cs="等线"/>
                <w:color w:val="000000"/>
                <w:sz w:val="24"/>
              </w:rPr>
            </w:pPr>
          </w:p>
        </w:tc>
      </w:tr>
    </w:tbl>
    <w:p>
      <w:pPr>
        <w:pStyle w:val="2"/>
        <w:rPr>
          <w:rFonts w:hint="eastAsia" w:ascii="仿宋" w:hAnsi="仿宋" w:eastAsia="仿宋"/>
          <w:lang w:bidi="en-U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E08E18"/>
    <w:multiLevelType w:val="singleLevel"/>
    <w:tmpl w:val="E6E08E18"/>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E1MWQ0NjBmODcxN2NjNTEzOWRkMWU5ZDZjNDc1ZDQifQ=="/>
  </w:docVars>
  <w:rsids>
    <w:rsidRoot w:val="57937947"/>
    <w:rsid w:val="000307C6"/>
    <w:rsid w:val="000877CC"/>
    <w:rsid w:val="00157A0B"/>
    <w:rsid w:val="002F08C9"/>
    <w:rsid w:val="005E46CD"/>
    <w:rsid w:val="00653E3F"/>
    <w:rsid w:val="00704F9A"/>
    <w:rsid w:val="008505A3"/>
    <w:rsid w:val="00990B2A"/>
    <w:rsid w:val="009E0163"/>
    <w:rsid w:val="00B253DA"/>
    <w:rsid w:val="00B9756C"/>
    <w:rsid w:val="00BA6F65"/>
    <w:rsid w:val="00CD6427"/>
    <w:rsid w:val="00D37D67"/>
    <w:rsid w:val="00E259B0"/>
    <w:rsid w:val="00EF7B94"/>
    <w:rsid w:val="00F8572D"/>
    <w:rsid w:val="059B6803"/>
    <w:rsid w:val="0D870F11"/>
    <w:rsid w:val="118B3557"/>
    <w:rsid w:val="11C91F72"/>
    <w:rsid w:val="128D231A"/>
    <w:rsid w:val="1D4B1F5B"/>
    <w:rsid w:val="1D7269A3"/>
    <w:rsid w:val="1DE57CB9"/>
    <w:rsid w:val="1E832995"/>
    <w:rsid w:val="1F033250"/>
    <w:rsid w:val="23C00C24"/>
    <w:rsid w:val="2C8B5ED0"/>
    <w:rsid w:val="34D60E43"/>
    <w:rsid w:val="35D232E6"/>
    <w:rsid w:val="37070849"/>
    <w:rsid w:val="38B65A99"/>
    <w:rsid w:val="462A32E4"/>
    <w:rsid w:val="47A82F7D"/>
    <w:rsid w:val="4B9E0DA1"/>
    <w:rsid w:val="4C4B7308"/>
    <w:rsid w:val="4E9824AA"/>
    <w:rsid w:val="510412E4"/>
    <w:rsid w:val="57937947"/>
    <w:rsid w:val="59A10C2E"/>
    <w:rsid w:val="59A10DA5"/>
    <w:rsid w:val="5C797832"/>
    <w:rsid w:val="693A2873"/>
    <w:rsid w:val="6BA14055"/>
    <w:rsid w:val="75272B6D"/>
    <w:rsid w:val="756070E1"/>
    <w:rsid w:val="78AA0A59"/>
    <w:rsid w:val="7C5727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autoRedefine/>
    <w:semiHidden/>
    <w:unhideWhenUsed/>
    <w:qFormat/>
    <w:uiPriority w:val="1"/>
  </w:style>
  <w:style w:type="table" w:default="1" w:styleId="3">
    <w:name w:val="Normal Table"/>
    <w:autoRedefine/>
    <w:semiHidden/>
    <w:unhideWhenUsed/>
    <w:qFormat/>
    <w:uiPriority w:val="99"/>
    <w:tblPr>
      <w:tblCellMar>
        <w:top w:w="0" w:type="dxa"/>
        <w:left w:w="108" w:type="dxa"/>
        <w:bottom w:w="0" w:type="dxa"/>
        <w:right w:w="108" w:type="dxa"/>
      </w:tblCellMar>
    </w:tblPr>
  </w:style>
  <w:style w:type="paragraph" w:customStyle="1" w:styleId="2">
    <w:name w:val="Default"/>
    <w:autoRedefine/>
    <w:qFormat/>
    <w:uiPriority w:val="0"/>
    <w:pPr>
      <w:autoSpaceDE w:val="0"/>
      <w:autoSpaceDN w:val="0"/>
      <w:adjustRightInd w:val="0"/>
    </w:pPr>
    <w:rPr>
      <w:rFonts w:ascii="宋体" w:hAnsi="Times New Roman" w:eastAsia="宋体" w:cs="宋体"/>
      <w:color w:val="000000"/>
      <w:sz w:val="24"/>
      <w:szCs w:val="24"/>
      <w:lang w:val="en-US" w:eastAsia="zh-CN" w:bidi="ar-SA"/>
    </w:rPr>
  </w:style>
  <w:style w:type="paragraph" w:styleId="5">
    <w:name w:val="List Paragraph"/>
    <w:basedOn w:val="1"/>
    <w:autoRedefine/>
    <w:qFormat/>
    <w:uiPriority w:val="34"/>
    <w:pPr>
      <w:ind w:firstLine="420" w:firstLineChars="200"/>
    </w:pPr>
  </w:style>
  <w:style w:type="paragraph" w:customStyle="1" w:styleId="6">
    <w:name w:val="null3"/>
    <w:autoRedefine/>
    <w:hidden/>
    <w:qFormat/>
    <w:uiPriority w:val="0"/>
    <w:rPr>
      <w:rFonts w:hint="eastAsia" w:asciiTheme="minorHAnsi" w:hAnsiTheme="minorHAnsi" w:eastAsiaTheme="minorEastAsia" w:cstheme="minorBidi"/>
      <w:kern w:val="0"/>
      <w:sz w:val="20"/>
      <w:szCs w:val="20"/>
      <w:lang w:val="en-US" w:eastAsia="zh-Hans" w:bidi="ar-SA"/>
      <w14:ligatures w14: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403</Words>
  <Characters>2301</Characters>
  <Lines>19</Lines>
  <Paragraphs>5</Paragraphs>
  <TotalTime>0</TotalTime>
  <ScaleCrop>false</ScaleCrop>
  <LinksUpToDate>false</LinksUpToDate>
  <CharactersWithSpaces>2699</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2023-03-21T09:34:00Z</dcterms:created>
  <dc:creator>随波逐流</dc:creator>
  <cp:lastModifiedBy>随波逐流</cp:lastModifiedBy>
  <dcterms:modified xsi:type="dcterms:W3CDTF">2024-04-18T09:14:50Z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2B72B00FD6064BC795ED43E99D42E655_13</vt:lpwstr>
  </property>
</Properties>
</file>