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23D1" w:rsidRPr="000855F2" w:rsidRDefault="00BD23D1" w:rsidP="00BD23D1">
      <w:pPr>
        <w:spacing w:after="0" w:line="360" w:lineRule="auto"/>
        <w:rPr>
          <w:rFonts w:ascii="微软雅黑" w:hAnsi="微软雅黑" w:cs="微软雅黑"/>
          <w:sz w:val="32"/>
          <w:szCs w:val="32"/>
        </w:rPr>
      </w:pPr>
      <w:r w:rsidRPr="000855F2">
        <w:rPr>
          <w:rFonts w:ascii="微软雅黑" w:hAnsi="微软雅黑" w:cs="微软雅黑" w:hint="eastAsia"/>
          <w:sz w:val="32"/>
          <w:szCs w:val="32"/>
        </w:rPr>
        <w:t xml:space="preserve">“老年围手术期（择期非心脏手术）健康综合评估系统” </w:t>
      </w:r>
    </w:p>
    <w:p w:rsidR="000855F2" w:rsidRPr="000855F2" w:rsidRDefault="000855F2" w:rsidP="000855F2">
      <w:pPr>
        <w:pStyle w:val="2"/>
        <w:numPr>
          <w:ilvl w:val="1"/>
          <w:numId w:val="2"/>
        </w:numPr>
        <w:tabs>
          <w:tab w:val="clear" w:pos="312"/>
          <w:tab w:val="left" w:pos="425"/>
        </w:tabs>
        <w:adjustRightInd w:val="0"/>
        <w:snapToGrid w:val="0"/>
        <w:rPr>
          <w:rFonts w:cs="微软雅黑" w:hint="eastAsia"/>
          <w:b w:val="0"/>
          <w:sz w:val="30"/>
          <w:szCs w:val="30"/>
        </w:rPr>
      </w:pPr>
      <w:bookmarkStart w:id="0" w:name="_Toc332971262"/>
      <w:bookmarkStart w:id="1" w:name="_Toc366423097"/>
      <w:bookmarkStart w:id="2" w:name="_Toc366423485"/>
      <w:bookmarkStart w:id="3" w:name="_Toc366424151"/>
      <w:bookmarkStart w:id="4" w:name="_Toc53143264"/>
      <w:r w:rsidRPr="000855F2">
        <w:rPr>
          <w:rFonts w:cs="微软雅黑" w:hint="eastAsia"/>
          <w:b w:val="0"/>
          <w:sz w:val="30"/>
          <w:szCs w:val="30"/>
        </w:rPr>
        <w:t>项目名称</w:t>
      </w:r>
      <w:bookmarkEnd w:id="0"/>
      <w:bookmarkEnd w:id="1"/>
      <w:bookmarkEnd w:id="2"/>
      <w:bookmarkEnd w:id="3"/>
      <w:bookmarkEnd w:id="4"/>
    </w:p>
    <w:p w:rsidR="000855F2" w:rsidRPr="000855F2" w:rsidRDefault="000855F2" w:rsidP="000855F2">
      <w:pPr>
        <w:spacing w:after="0" w:line="360" w:lineRule="auto"/>
        <w:ind w:firstLineChars="200" w:firstLine="600"/>
        <w:rPr>
          <w:rFonts w:ascii="微软雅黑" w:hAnsi="微软雅黑" w:cs="微软雅黑" w:hint="eastAsia"/>
          <w:sz w:val="30"/>
          <w:szCs w:val="30"/>
        </w:rPr>
      </w:pPr>
      <w:r w:rsidRPr="000855F2">
        <w:rPr>
          <w:rFonts w:ascii="微软雅黑" w:hAnsi="微软雅黑" w:cs="微软雅黑" w:hint="eastAsia"/>
          <w:sz w:val="30"/>
          <w:szCs w:val="30"/>
        </w:rPr>
        <w:t>老年患者围术期（择期非心脏手术）综合评估软件系统服务</w:t>
      </w:r>
    </w:p>
    <w:p w:rsidR="000855F2" w:rsidRPr="000855F2" w:rsidRDefault="000855F2" w:rsidP="000855F2">
      <w:pPr>
        <w:pStyle w:val="2"/>
        <w:numPr>
          <w:ilvl w:val="1"/>
          <w:numId w:val="2"/>
        </w:numPr>
        <w:tabs>
          <w:tab w:val="clear" w:pos="312"/>
          <w:tab w:val="left" w:pos="425"/>
        </w:tabs>
        <w:adjustRightInd w:val="0"/>
        <w:snapToGrid w:val="0"/>
        <w:rPr>
          <w:rFonts w:cs="微软雅黑" w:hint="eastAsia"/>
          <w:b w:val="0"/>
          <w:sz w:val="30"/>
          <w:szCs w:val="30"/>
        </w:rPr>
      </w:pPr>
      <w:bookmarkStart w:id="5" w:name="_Toc53143266"/>
      <w:r w:rsidRPr="000855F2">
        <w:rPr>
          <w:rFonts w:cs="微软雅黑" w:hint="eastAsia"/>
          <w:b w:val="0"/>
          <w:sz w:val="30"/>
          <w:szCs w:val="30"/>
        </w:rPr>
        <w:t>建设任务</w:t>
      </w:r>
      <w:bookmarkEnd w:id="5"/>
    </w:p>
    <w:p w:rsidR="000855F2" w:rsidRDefault="000855F2" w:rsidP="000855F2">
      <w:pPr>
        <w:spacing w:after="0" w:line="360" w:lineRule="auto"/>
        <w:ind w:firstLineChars="200" w:firstLine="480"/>
        <w:rPr>
          <w:rFonts w:ascii="微软雅黑" w:hAnsi="微软雅黑" w:cs="微软雅黑" w:hint="eastAsia"/>
          <w:sz w:val="24"/>
          <w:szCs w:val="24"/>
        </w:rPr>
      </w:pPr>
      <w:r>
        <w:rPr>
          <w:rFonts w:ascii="微软雅黑" w:hAnsi="微软雅黑" w:cs="微软雅黑" w:hint="eastAsia"/>
          <w:sz w:val="24"/>
          <w:szCs w:val="24"/>
        </w:rPr>
        <w:t>随着社会快速的老龄化，老年围术期患者存在多病共存，合并衰弱、疼痛、营养不良、血栓高风险、躯体功能障碍等多种老年问题，如果没有及时地评估和干预，老年患者的术后并发症、致残率、医疗费用会显著增高，甚至出现死亡的不良临床结局。使得老年科医师及外科医师越来越关注老年患者围术期的管理，老年综合评估是发现老年患者诸多问题的重要手段。</w:t>
      </w:r>
    </w:p>
    <w:p w:rsidR="000855F2" w:rsidRDefault="000855F2" w:rsidP="000855F2">
      <w:pPr>
        <w:spacing w:after="0" w:line="360" w:lineRule="auto"/>
        <w:ind w:firstLineChars="200" w:firstLine="480"/>
        <w:rPr>
          <w:rFonts w:ascii="微软雅黑" w:hAnsi="微软雅黑" w:cs="微软雅黑" w:hint="eastAsia"/>
          <w:sz w:val="24"/>
          <w:szCs w:val="24"/>
        </w:rPr>
      </w:pPr>
      <w:r>
        <w:rPr>
          <w:rFonts w:ascii="微软雅黑" w:hAnsi="微软雅黑" w:cs="微软雅黑" w:hint="eastAsia"/>
          <w:sz w:val="24"/>
          <w:szCs w:val="24"/>
        </w:rPr>
        <w:t>老年综合评估是国际和国内医学界公认的现代老年医学的核心诊断技术，是老年人全面健康的内容出发点，是作为国家重点专科必备的内容之一，也是明确老年病科需要开展的工作内容之一。对老年患者进行科学持续的综合评估，结合临床疾病诊断、药物治疗和康复治疗等，并给予连续性、全面干预和管理，能最大程度地维护和改善患者的健康与功能状态，改善老年患者的健康状况，并提高老年患者的生存质量；并能为专科治疗提供最大程度的协同管理和辅助。</w:t>
      </w:r>
    </w:p>
    <w:p w:rsidR="000855F2" w:rsidRDefault="000855F2" w:rsidP="000855F2">
      <w:pPr>
        <w:spacing w:after="0" w:line="360" w:lineRule="auto"/>
        <w:ind w:firstLineChars="200" w:firstLine="480"/>
        <w:rPr>
          <w:rFonts w:ascii="微软雅黑" w:hAnsi="微软雅黑" w:cs="微软雅黑" w:hint="eastAsia"/>
          <w:sz w:val="24"/>
          <w:szCs w:val="24"/>
        </w:rPr>
      </w:pPr>
      <w:r>
        <w:rPr>
          <w:rFonts w:ascii="微软雅黑" w:hAnsi="微软雅黑" w:cs="微软雅黑" w:hint="eastAsia"/>
          <w:sz w:val="24"/>
          <w:szCs w:val="24"/>
        </w:rPr>
        <w:t>具体体现在以下方面：</w:t>
      </w:r>
    </w:p>
    <w:p w:rsidR="000855F2" w:rsidRDefault="000855F2" w:rsidP="000855F2">
      <w:pPr>
        <w:numPr>
          <w:ilvl w:val="0"/>
          <w:numId w:val="3"/>
        </w:numPr>
        <w:spacing w:after="0" w:line="360" w:lineRule="auto"/>
        <w:ind w:firstLineChars="200" w:firstLine="480"/>
        <w:rPr>
          <w:rFonts w:ascii="微软雅黑" w:hAnsi="微软雅黑" w:hint="eastAsia"/>
          <w:sz w:val="24"/>
          <w:szCs w:val="24"/>
        </w:rPr>
      </w:pPr>
      <w:r>
        <w:rPr>
          <w:rFonts w:ascii="微软雅黑" w:hAnsi="微软雅黑" w:hint="eastAsia"/>
          <w:sz w:val="24"/>
          <w:szCs w:val="24"/>
        </w:rPr>
        <w:t>建立老年患者围术期（择期非心脏手术）综合评估软件一体化管理平台，实现老年围术期患者的统一管理。</w:t>
      </w:r>
    </w:p>
    <w:p w:rsidR="000855F2" w:rsidRDefault="000855F2" w:rsidP="000855F2">
      <w:pPr>
        <w:numPr>
          <w:ilvl w:val="0"/>
          <w:numId w:val="3"/>
        </w:numPr>
        <w:spacing w:after="0" w:line="360" w:lineRule="auto"/>
        <w:ind w:firstLineChars="200" w:firstLine="480"/>
        <w:rPr>
          <w:rFonts w:ascii="微软雅黑" w:hAnsi="微软雅黑" w:hint="eastAsia"/>
          <w:sz w:val="24"/>
          <w:szCs w:val="24"/>
        </w:rPr>
      </w:pPr>
      <w:r>
        <w:rPr>
          <w:rFonts w:ascii="微软雅黑" w:hAnsi="微软雅黑" w:hint="eastAsia"/>
          <w:sz w:val="24"/>
          <w:szCs w:val="24"/>
        </w:rPr>
        <w:t>建立老年围术期患者管理模式，以骨科为试点，逐步推广到普外科、泌尿外科等其他手术科室。</w:t>
      </w:r>
    </w:p>
    <w:p w:rsidR="000855F2" w:rsidRDefault="000855F2" w:rsidP="000855F2">
      <w:pPr>
        <w:numPr>
          <w:ilvl w:val="0"/>
          <w:numId w:val="3"/>
        </w:numPr>
        <w:spacing w:after="0" w:line="360" w:lineRule="auto"/>
        <w:ind w:firstLineChars="200" w:firstLine="480"/>
        <w:rPr>
          <w:rFonts w:ascii="微软雅黑" w:hAnsi="微软雅黑" w:hint="eastAsia"/>
          <w:sz w:val="24"/>
          <w:szCs w:val="24"/>
        </w:rPr>
      </w:pPr>
      <w:r>
        <w:rPr>
          <w:rFonts w:ascii="微软雅黑" w:hAnsi="微软雅黑" w:hint="eastAsia"/>
          <w:sz w:val="24"/>
          <w:szCs w:val="24"/>
        </w:rPr>
        <w:lastRenderedPageBreak/>
        <w:t>建立老年围术期患者数据库，对数据进行分析，建立术后并发症的预测模型，并进行验证。</w:t>
      </w:r>
    </w:p>
    <w:p w:rsidR="000855F2" w:rsidRDefault="000855F2" w:rsidP="000855F2">
      <w:pPr>
        <w:numPr>
          <w:ilvl w:val="0"/>
          <w:numId w:val="3"/>
        </w:numPr>
        <w:spacing w:after="0" w:line="360" w:lineRule="auto"/>
        <w:ind w:firstLineChars="200" w:firstLine="480"/>
        <w:rPr>
          <w:rFonts w:ascii="微软雅黑" w:hAnsi="微软雅黑" w:hint="eastAsia"/>
          <w:sz w:val="24"/>
          <w:szCs w:val="24"/>
        </w:rPr>
      </w:pPr>
      <w:r>
        <w:rPr>
          <w:rFonts w:ascii="微软雅黑" w:hAnsi="微软雅黑" w:hint="eastAsia"/>
          <w:sz w:val="24"/>
          <w:szCs w:val="24"/>
        </w:rPr>
        <w:t>全面提升医院老年围术期管理水平，打造老年围术期管理品牌，提升医院的影响力。</w:t>
      </w:r>
    </w:p>
    <w:p w:rsidR="000855F2" w:rsidRPr="000855F2" w:rsidRDefault="000855F2" w:rsidP="00BD23D1">
      <w:pPr>
        <w:spacing w:after="0" w:line="360" w:lineRule="auto"/>
        <w:ind w:firstLineChars="200" w:firstLine="480"/>
        <w:rPr>
          <w:rFonts w:ascii="微软雅黑" w:hAnsi="微软雅黑" w:cs="微软雅黑" w:hint="eastAsia"/>
          <w:sz w:val="24"/>
          <w:szCs w:val="24"/>
        </w:rPr>
      </w:pPr>
    </w:p>
    <w:p w:rsidR="00BD23D1" w:rsidRDefault="00D64F16" w:rsidP="00D64F16">
      <w:pPr>
        <w:spacing w:after="0" w:line="360" w:lineRule="auto"/>
        <w:rPr>
          <w:rFonts w:ascii="微软雅黑" w:hAnsi="微软雅黑" w:cs="微软雅黑"/>
          <w:sz w:val="24"/>
          <w:szCs w:val="24"/>
        </w:rPr>
      </w:pPr>
      <w:r>
        <w:rPr>
          <w:rFonts w:ascii="微软雅黑" w:hAnsi="微软雅黑" w:cs="微软雅黑" w:hint="eastAsia"/>
          <w:sz w:val="24"/>
          <w:szCs w:val="24"/>
        </w:rPr>
        <w:t>2、</w:t>
      </w:r>
      <w:r w:rsidR="00BD23D1">
        <w:rPr>
          <w:rFonts w:ascii="微软雅黑" w:hAnsi="微软雅黑" w:cs="微软雅黑" w:hint="eastAsia"/>
          <w:sz w:val="24"/>
          <w:szCs w:val="24"/>
        </w:rPr>
        <w:t>具体内容包含但不限于以下功能：</w:t>
      </w:r>
    </w:p>
    <w:p w:rsidR="00BD23D1" w:rsidRDefault="00D64F16" w:rsidP="00D64F16">
      <w:pPr>
        <w:tabs>
          <w:tab w:val="left" w:pos="312"/>
        </w:tabs>
        <w:spacing w:after="0" w:line="360" w:lineRule="auto"/>
        <w:rPr>
          <w:rFonts w:ascii="微软雅黑" w:hAnsi="微软雅黑" w:cs="微软雅黑"/>
          <w:sz w:val="24"/>
          <w:szCs w:val="24"/>
        </w:rPr>
      </w:pPr>
      <w:r>
        <w:rPr>
          <w:rFonts w:ascii="微软雅黑" w:hAnsi="微软雅黑" w:cs="微软雅黑" w:hint="eastAsia"/>
          <w:sz w:val="24"/>
          <w:szCs w:val="24"/>
        </w:rPr>
        <w:t>（1）</w:t>
      </w:r>
      <w:r w:rsidR="00BD23D1">
        <w:rPr>
          <w:rFonts w:ascii="微软雅黑" w:hAnsi="微软雅黑" w:cs="微软雅黑" w:hint="eastAsia"/>
          <w:sz w:val="24"/>
          <w:szCs w:val="24"/>
        </w:rPr>
        <w:t>一般资料</w:t>
      </w:r>
    </w:p>
    <w:p w:rsidR="00BD23D1" w:rsidRDefault="00BD23D1" w:rsidP="006D6A5E">
      <w:pPr>
        <w:spacing w:after="0" w:line="360" w:lineRule="auto"/>
        <w:ind w:firstLineChars="200" w:firstLine="480"/>
        <w:rPr>
          <w:rFonts w:ascii="微软雅黑" w:hAnsi="微软雅黑" w:cs="微软雅黑"/>
          <w:sz w:val="24"/>
          <w:szCs w:val="24"/>
        </w:rPr>
      </w:pPr>
      <w:r>
        <w:rPr>
          <w:rFonts w:ascii="微软雅黑" w:hAnsi="微软雅黑" w:cs="微软雅黑" w:hint="eastAsia"/>
          <w:sz w:val="24"/>
          <w:szCs w:val="24"/>
        </w:rPr>
        <w:t>包括患者姓名、性别、年龄等基本信息，以及婚姻状况、居住方式、受教育程度和医疗保障形式等。</w:t>
      </w:r>
    </w:p>
    <w:p w:rsidR="00BD23D1" w:rsidRDefault="00D64F16" w:rsidP="00D64F16">
      <w:pPr>
        <w:tabs>
          <w:tab w:val="left" w:pos="312"/>
        </w:tabs>
        <w:spacing w:after="0" w:line="360" w:lineRule="auto"/>
        <w:rPr>
          <w:rFonts w:ascii="微软雅黑" w:hAnsi="微软雅黑" w:cs="微软雅黑"/>
          <w:sz w:val="24"/>
          <w:szCs w:val="24"/>
        </w:rPr>
      </w:pPr>
      <w:r>
        <w:rPr>
          <w:rFonts w:ascii="微软雅黑" w:hAnsi="微软雅黑" w:cs="微软雅黑" w:hint="eastAsia"/>
          <w:sz w:val="24"/>
          <w:szCs w:val="24"/>
        </w:rPr>
        <w:t>（2）</w:t>
      </w:r>
      <w:r w:rsidR="00BD23D1">
        <w:rPr>
          <w:rFonts w:ascii="微软雅黑" w:hAnsi="微软雅黑" w:cs="微软雅黑"/>
          <w:sz w:val="24"/>
          <w:szCs w:val="24"/>
        </w:rPr>
        <w:t>病历基础数据</w:t>
      </w:r>
    </w:p>
    <w:p w:rsidR="00BD23D1" w:rsidRDefault="00BD23D1" w:rsidP="00BD23D1">
      <w:pPr>
        <w:spacing w:after="0" w:line="360" w:lineRule="auto"/>
        <w:rPr>
          <w:rFonts w:ascii="微软雅黑" w:hAnsi="微软雅黑" w:cs="微软雅黑"/>
          <w:sz w:val="24"/>
          <w:szCs w:val="24"/>
        </w:rPr>
      </w:pPr>
      <w:r>
        <w:rPr>
          <w:rFonts w:ascii="微软雅黑" w:hAnsi="微软雅黑" w:cs="微软雅黑" w:hint="eastAsia"/>
          <w:sz w:val="24"/>
          <w:szCs w:val="24"/>
        </w:rPr>
        <w:t xml:space="preserve">       包括既往手术史、本次临床诊断、本次手术名称及方式、麻醉方式等。</w:t>
      </w:r>
    </w:p>
    <w:p w:rsidR="00BD23D1" w:rsidRDefault="00D64F16" w:rsidP="00D64F16">
      <w:pPr>
        <w:tabs>
          <w:tab w:val="left" w:pos="312"/>
        </w:tabs>
        <w:spacing w:after="0" w:line="360" w:lineRule="auto"/>
        <w:rPr>
          <w:rFonts w:ascii="微软雅黑" w:hAnsi="微软雅黑" w:cs="微软雅黑"/>
          <w:sz w:val="24"/>
          <w:szCs w:val="24"/>
        </w:rPr>
      </w:pPr>
      <w:r>
        <w:rPr>
          <w:rFonts w:ascii="微软雅黑" w:hAnsi="微软雅黑" w:cs="微软雅黑" w:hint="eastAsia"/>
          <w:sz w:val="24"/>
          <w:szCs w:val="24"/>
        </w:rPr>
        <w:t>（3）</w:t>
      </w:r>
      <w:r w:rsidR="00BD23D1">
        <w:rPr>
          <w:rFonts w:ascii="微软雅黑" w:hAnsi="微软雅黑" w:cs="微软雅黑" w:hint="eastAsia"/>
          <w:sz w:val="24"/>
          <w:szCs w:val="24"/>
        </w:rPr>
        <w:t>术前评估</w:t>
      </w:r>
    </w:p>
    <w:p w:rsidR="00BD23D1" w:rsidRDefault="00BD23D1" w:rsidP="00BD23D1">
      <w:pPr>
        <w:spacing w:after="0" w:line="360" w:lineRule="auto"/>
        <w:rPr>
          <w:rFonts w:ascii="微软雅黑" w:hAnsi="微软雅黑" w:cs="微软雅黑"/>
          <w:sz w:val="24"/>
          <w:szCs w:val="24"/>
        </w:rPr>
      </w:pPr>
      <w:r>
        <w:rPr>
          <w:rFonts w:ascii="微软雅黑" w:hAnsi="微软雅黑" w:cs="微软雅黑" w:hint="eastAsia"/>
          <w:sz w:val="24"/>
          <w:szCs w:val="24"/>
        </w:rPr>
        <w:t xml:space="preserve">        包括视力、听力、心功能、肺功能、术前疾病严重程度评估、老年综合征（包括疼痛、衰弱、认知功能障碍、便秘、尿失禁、焦虑、抑郁、睡眠障碍、吞咽障碍、营养不良、谵妄风险等）、血栓形成风险、手术出血风险、肝肾功能、电解质等评估。医护团队根据评估结果进行评估。</w:t>
      </w:r>
    </w:p>
    <w:p w:rsidR="00BD23D1" w:rsidRDefault="00D64F16" w:rsidP="00D64F16">
      <w:pPr>
        <w:tabs>
          <w:tab w:val="left" w:pos="312"/>
        </w:tabs>
        <w:spacing w:after="0" w:line="360" w:lineRule="auto"/>
        <w:rPr>
          <w:rFonts w:ascii="微软雅黑" w:hAnsi="微软雅黑" w:cs="微软雅黑"/>
          <w:sz w:val="24"/>
          <w:szCs w:val="24"/>
        </w:rPr>
      </w:pPr>
      <w:r>
        <w:rPr>
          <w:rFonts w:ascii="微软雅黑" w:hAnsi="微软雅黑" w:cs="微软雅黑" w:hint="eastAsia"/>
          <w:sz w:val="24"/>
          <w:szCs w:val="24"/>
        </w:rPr>
        <w:t>（4）</w:t>
      </w:r>
      <w:r w:rsidR="00BD23D1">
        <w:rPr>
          <w:rFonts w:ascii="微软雅黑" w:hAnsi="微软雅黑" w:cs="微软雅黑"/>
          <w:sz w:val="24"/>
          <w:szCs w:val="24"/>
        </w:rPr>
        <w:t>术后并发症风险预测</w:t>
      </w:r>
    </w:p>
    <w:p w:rsidR="00BD23D1" w:rsidRDefault="00BD23D1" w:rsidP="00BD23D1">
      <w:pPr>
        <w:spacing w:after="0" w:line="360" w:lineRule="auto"/>
        <w:rPr>
          <w:rFonts w:ascii="微软雅黑" w:hAnsi="微软雅黑" w:cs="微软雅黑"/>
          <w:sz w:val="24"/>
          <w:szCs w:val="24"/>
        </w:rPr>
      </w:pPr>
      <w:r>
        <w:rPr>
          <w:rFonts w:ascii="微软雅黑" w:hAnsi="微软雅黑" w:cs="微软雅黑" w:hint="eastAsia"/>
          <w:sz w:val="24"/>
          <w:szCs w:val="24"/>
        </w:rPr>
        <w:t xml:space="preserve">       包括术后肺炎及其他肺部并发症、下肢深静脉血栓形成和肺栓塞的评估。</w:t>
      </w:r>
    </w:p>
    <w:p w:rsidR="00BD23D1" w:rsidRDefault="00D64F16" w:rsidP="00D64F16">
      <w:pPr>
        <w:tabs>
          <w:tab w:val="left" w:pos="312"/>
        </w:tabs>
        <w:spacing w:after="0" w:line="360" w:lineRule="auto"/>
        <w:rPr>
          <w:rFonts w:ascii="微软雅黑" w:hAnsi="微软雅黑" w:cs="微软雅黑"/>
          <w:sz w:val="24"/>
          <w:szCs w:val="24"/>
        </w:rPr>
      </w:pPr>
      <w:r>
        <w:rPr>
          <w:rFonts w:ascii="微软雅黑" w:hAnsi="微软雅黑" w:cs="微软雅黑" w:hint="eastAsia"/>
          <w:sz w:val="24"/>
          <w:szCs w:val="24"/>
        </w:rPr>
        <w:t>（5）</w:t>
      </w:r>
      <w:r w:rsidR="00BD23D1">
        <w:rPr>
          <w:rFonts w:ascii="微软雅黑" w:hAnsi="微软雅黑" w:cs="微软雅黑"/>
          <w:sz w:val="24"/>
          <w:szCs w:val="24"/>
        </w:rPr>
        <w:t>术后评估</w:t>
      </w:r>
    </w:p>
    <w:p w:rsidR="00BD23D1" w:rsidRDefault="00BD23D1" w:rsidP="00BD23D1">
      <w:pPr>
        <w:spacing w:after="0" w:line="360" w:lineRule="auto"/>
        <w:rPr>
          <w:rFonts w:ascii="微软雅黑" w:hAnsi="微软雅黑" w:cs="微软雅黑"/>
          <w:sz w:val="24"/>
          <w:szCs w:val="24"/>
        </w:rPr>
      </w:pPr>
      <w:r>
        <w:rPr>
          <w:rFonts w:ascii="微软雅黑" w:hAnsi="微软雅黑" w:cs="微软雅黑" w:hint="eastAsia"/>
          <w:sz w:val="24"/>
          <w:szCs w:val="24"/>
        </w:rPr>
        <w:t xml:space="preserve">      包括术后是否入住ICU的记录，以及谵妄、疼痛、睡眠、感染、院内不良事件发生（跌倒、压疮等）的评估。</w:t>
      </w:r>
    </w:p>
    <w:p w:rsidR="00BD23D1" w:rsidRDefault="00D64F16" w:rsidP="00D64F16">
      <w:pPr>
        <w:tabs>
          <w:tab w:val="left" w:pos="312"/>
        </w:tabs>
        <w:spacing w:after="0" w:line="360" w:lineRule="auto"/>
        <w:rPr>
          <w:rFonts w:ascii="微软雅黑" w:hAnsi="微软雅黑" w:cs="微软雅黑"/>
          <w:sz w:val="24"/>
          <w:szCs w:val="24"/>
        </w:rPr>
      </w:pPr>
      <w:r>
        <w:rPr>
          <w:rFonts w:ascii="微软雅黑" w:hAnsi="微软雅黑" w:cs="微软雅黑" w:hint="eastAsia"/>
          <w:sz w:val="24"/>
          <w:szCs w:val="24"/>
        </w:rPr>
        <w:t>（6）</w:t>
      </w:r>
      <w:r w:rsidR="00BD23D1">
        <w:rPr>
          <w:rFonts w:ascii="微软雅黑" w:hAnsi="微软雅黑" w:cs="微软雅黑" w:hint="eastAsia"/>
          <w:sz w:val="24"/>
          <w:szCs w:val="24"/>
        </w:rPr>
        <w:t>出院前评估</w:t>
      </w:r>
    </w:p>
    <w:p w:rsidR="00BD23D1" w:rsidRDefault="00BD23D1" w:rsidP="00BD23D1">
      <w:pPr>
        <w:spacing w:after="0" w:line="360" w:lineRule="auto"/>
        <w:rPr>
          <w:rFonts w:ascii="微软雅黑" w:hAnsi="微软雅黑" w:cs="微软雅黑"/>
          <w:sz w:val="24"/>
          <w:szCs w:val="24"/>
        </w:rPr>
      </w:pPr>
      <w:r>
        <w:rPr>
          <w:rFonts w:ascii="微软雅黑" w:hAnsi="微软雅黑" w:cs="微软雅黑" w:hint="eastAsia"/>
          <w:sz w:val="24"/>
          <w:szCs w:val="24"/>
        </w:rPr>
        <w:lastRenderedPageBreak/>
        <w:t xml:space="preserve">     包括精神状态、谵妄、疼痛的评估以及出院后去向记录。</w:t>
      </w:r>
    </w:p>
    <w:p w:rsidR="008B079E" w:rsidRPr="00BD23D1" w:rsidRDefault="008B079E" w:rsidP="00BD23D1"/>
    <w:sectPr w:rsidR="008B079E" w:rsidRPr="00BD23D1" w:rsidSect="008B079E">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348FA" w:rsidRDefault="00B348FA" w:rsidP="00BD23D1">
      <w:pPr>
        <w:spacing w:after="0"/>
      </w:pPr>
      <w:r>
        <w:separator/>
      </w:r>
    </w:p>
  </w:endnote>
  <w:endnote w:type="continuationSeparator" w:id="1">
    <w:p w:rsidR="00B348FA" w:rsidRDefault="00B348FA" w:rsidP="00BD23D1">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宋体">
    <w:altName w:val="SimSun"/>
    <w:panose1 w:val="02010600030101010101"/>
    <w:charset w:val="86"/>
    <w:family w:val="auto"/>
    <w:pitch w:val="variable"/>
    <w:sig w:usb0="00000003" w:usb1="288F0000" w:usb2="00000016" w:usb3="00000000" w:csb0="0004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348FA" w:rsidRDefault="00B348FA" w:rsidP="00BD23D1">
      <w:pPr>
        <w:spacing w:after="0"/>
      </w:pPr>
      <w:r>
        <w:separator/>
      </w:r>
    </w:p>
  </w:footnote>
  <w:footnote w:type="continuationSeparator" w:id="1">
    <w:p w:rsidR="00B348FA" w:rsidRDefault="00B348FA" w:rsidP="00BD23D1">
      <w:pPr>
        <w:spacing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DA06F4A9"/>
    <w:multiLevelType w:val="singleLevel"/>
    <w:tmpl w:val="DA06F4A9"/>
    <w:lvl w:ilvl="0">
      <w:start w:val="1"/>
      <w:numFmt w:val="decimal"/>
      <w:lvlText w:val="%1."/>
      <w:lvlJc w:val="left"/>
      <w:pPr>
        <w:tabs>
          <w:tab w:val="left" w:pos="312"/>
        </w:tabs>
      </w:pPr>
    </w:lvl>
  </w:abstractNum>
  <w:abstractNum w:abstractNumId="1">
    <w:nsid w:val="1F7D3287"/>
    <w:multiLevelType w:val="multilevel"/>
    <w:tmpl w:val="1F7D3287"/>
    <w:lvl w:ilvl="0">
      <w:start w:val="1"/>
      <w:numFmt w:val="decimal"/>
      <w:lvlText w:val="第%1章"/>
      <w:lvlJc w:val="left"/>
      <w:pPr>
        <w:tabs>
          <w:tab w:val="num" w:pos="1418"/>
        </w:tabs>
        <w:ind w:left="993" w:firstLine="0"/>
      </w:pPr>
      <w:rPr>
        <w:rFonts w:hint="eastAsia"/>
        <w:b/>
        <w:bCs w:val="0"/>
        <w:i w:val="0"/>
        <w:iCs w:val="0"/>
        <w:caps w:val="0"/>
        <w:smallCaps w:val="0"/>
        <w:strike w:val="0"/>
        <w:dstrike w:val="0"/>
        <w:outline w:val="0"/>
        <w:shadow w:val="0"/>
        <w:emboss w:val="0"/>
        <w:imprint w:val="0"/>
        <w:vanish w:val="0"/>
        <w:spacing w:val="0"/>
        <w:position w:val="0"/>
        <w:sz w:val="44"/>
        <w:u w:val="none"/>
        <w:vertAlign w:val="baseline"/>
        <w:em w:val="none"/>
      </w:rPr>
    </w:lvl>
    <w:lvl w:ilvl="1">
      <w:start w:val="1"/>
      <w:numFmt w:val="decimal"/>
      <w:isLgl/>
      <w:lvlText w:val="%1.%2"/>
      <w:lvlJc w:val="left"/>
      <w:pPr>
        <w:tabs>
          <w:tab w:val="num" w:pos="425"/>
        </w:tabs>
        <w:ind w:left="0" w:firstLine="0"/>
      </w:pPr>
      <w:rPr>
        <w:rFonts w:ascii="微软雅黑" w:eastAsia="微软雅黑" w:hAnsi="微软雅黑" w:hint="eastAsia"/>
        <w:b/>
        <w:i w:val="0"/>
        <w:color w:val="000000"/>
      </w:rPr>
    </w:lvl>
    <w:lvl w:ilvl="2">
      <w:start w:val="1"/>
      <w:numFmt w:val="decimal"/>
      <w:isLgl/>
      <w:suff w:val="space"/>
      <w:lvlText w:val="%1.%2.%3"/>
      <w:lvlJc w:val="left"/>
      <w:pPr>
        <w:ind w:left="0" w:firstLine="0"/>
      </w:pPr>
      <w:rPr>
        <w:rFonts w:ascii="微软雅黑" w:eastAsia="微软雅黑" w:hAnsi="微软雅黑" w:hint="eastAsia"/>
      </w:rPr>
    </w:lvl>
    <w:lvl w:ilvl="3">
      <w:start w:val="1"/>
      <w:numFmt w:val="decimal"/>
      <w:isLgl/>
      <w:suff w:val="space"/>
      <w:lvlText w:val="%1.%2.%3.%4"/>
      <w:lvlJc w:val="left"/>
      <w:pPr>
        <w:ind w:left="0" w:firstLine="0"/>
      </w:pPr>
      <w:rPr>
        <w:rFonts w:hint="eastAsia"/>
      </w:rPr>
    </w:lvl>
    <w:lvl w:ilvl="4">
      <w:start w:val="1"/>
      <w:numFmt w:val="decimal"/>
      <w:isLgl/>
      <w:lvlText w:val="%1.%2.%3.%4.%5"/>
      <w:lvlJc w:val="left"/>
      <w:pPr>
        <w:tabs>
          <w:tab w:val="num" w:pos="425"/>
        </w:tabs>
        <w:ind w:left="0" w:firstLine="0"/>
      </w:pPr>
      <w:rPr>
        <w:rFonts w:hint="eastAsia"/>
        <w:b/>
      </w:rPr>
    </w:lvl>
    <w:lvl w:ilvl="5">
      <w:start w:val="1"/>
      <w:numFmt w:val="decimal"/>
      <w:isLgl/>
      <w:lvlText w:val="%1.%2.%3.%4.%5.%6"/>
      <w:lvlJc w:val="left"/>
      <w:pPr>
        <w:tabs>
          <w:tab w:val="num" w:pos="425"/>
        </w:tabs>
        <w:ind w:left="0" w:firstLine="0"/>
      </w:pPr>
      <w:rPr>
        <w:rFonts w:hint="eastAsia"/>
      </w:rPr>
    </w:lvl>
    <w:lvl w:ilvl="6">
      <w:start w:val="1"/>
      <w:numFmt w:val="decimal"/>
      <w:isLgl/>
      <w:lvlText w:val="%1.%2.%3.%4.%5.%6.%7"/>
      <w:lvlJc w:val="left"/>
      <w:pPr>
        <w:tabs>
          <w:tab w:val="num" w:pos="425"/>
        </w:tabs>
        <w:ind w:left="0" w:firstLine="0"/>
      </w:pPr>
      <w:rPr>
        <w:rFonts w:hint="eastAsia"/>
      </w:rPr>
    </w:lvl>
    <w:lvl w:ilvl="7">
      <w:start w:val="1"/>
      <w:numFmt w:val="decimal"/>
      <w:isLgl/>
      <w:lvlText w:val="%1.%2.%3.%4.%5.%6.%7.%8"/>
      <w:lvlJc w:val="left"/>
      <w:pPr>
        <w:tabs>
          <w:tab w:val="num" w:pos="425"/>
        </w:tabs>
        <w:ind w:left="0" w:firstLine="0"/>
      </w:pPr>
      <w:rPr>
        <w:rFonts w:hint="eastAsia"/>
      </w:rPr>
    </w:lvl>
    <w:lvl w:ilvl="8">
      <w:start w:val="1"/>
      <w:numFmt w:val="decimal"/>
      <w:isLgl/>
      <w:lvlText w:val="%1.%2.%3.%4.%5.%6.%7.%8.%9"/>
      <w:lvlJc w:val="left"/>
      <w:pPr>
        <w:tabs>
          <w:tab w:val="num" w:pos="425"/>
        </w:tabs>
        <w:ind w:left="0" w:firstLine="0"/>
      </w:pPr>
      <w:rPr>
        <w:rFonts w:hint="eastAsia"/>
      </w:rPr>
    </w:lvl>
  </w:abstractNum>
  <w:abstractNum w:abstractNumId="2">
    <w:nsid w:val="51863425"/>
    <w:multiLevelType w:val="singleLevel"/>
    <w:tmpl w:val="51863425"/>
    <w:lvl w:ilvl="0">
      <w:start w:val="1"/>
      <w:numFmt w:val="decimal"/>
      <w:lvlText w:val="%1."/>
      <w:lvlJc w:val="left"/>
      <w:pPr>
        <w:tabs>
          <w:tab w:val="num" w:pos="312"/>
        </w:tabs>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D3473F4"/>
    <w:rsid w:val="000855F2"/>
    <w:rsid w:val="006D6A5E"/>
    <w:rsid w:val="008B079E"/>
    <w:rsid w:val="00944F9A"/>
    <w:rsid w:val="00B32109"/>
    <w:rsid w:val="00B348FA"/>
    <w:rsid w:val="00BD23D1"/>
    <w:rsid w:val="00D64F16"/>
    <w:rsid w:val="0D3473F4"/>
    <w:rsid w:val="1D946FE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微软雅黑"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B079E"/>
    <w:pPr>
      <w:adjustRightInd w:val="0"/>
      <w:snapToGrid w:val="0"/>
      <w:spacing w:after="200"/>
    </w:pPr>
    <w:rPr>
      <w:rFonts w:ascii="Tahoma" w:hAnsi="Tahoma"/>
      <w:sz w:val="22"/>
      <w:szCs w:val="22"/>
    </w:rPr>
  </w:style>
  <w:style w:type="paragraph" w:styleId="2">
    <w:name w:val="heading 2"/>
    <w:basedOn w:val="a"/>
    <w:next w:val="a"/>
    <w:link w:val="20"/>
    <w:qFormat/>
    <w:rsid w:val="000855F2"/>
    <w:pPr>
      <w:keepNext/>
      <w:keepLines/>
      <w:widowControl w:val="0"/>
      <w:numPr>
        <w:ilvl w:val="1"/>
        <w:numId w:val="1"/>
      </w:numPr>
      <w:tabs>
        <w:tab w:val="left" w:pos="425"/>
        <w:tab w:val="left" w:pos="560"/>
      </w:tabs>
      <w:adjustRightInd/>
      <w:snapToGrid/>
      <w:spacing w:after="0" w:line="360" w:lineRule="auto"/>
      <w:jc w:val="both"/>
      <w:outlineLvl w:val="1"/>
    </w:pPr>
    <w:rPr>
      <w:rFonts w:ascii="微软雅黑" w:hAnsi="微软雅黑"/>
      <w:b/>
      <w:bCs/>
      <w:kern w:val="2"/>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BD23D1"/>
    <w:pPr>
      <w:pBdr>
        <w:bottom w:val="single" w:sz="6" w:space="1" w:color="auto"/>
      </w:pBdr>
      <w:tabs>
        <w:tab w:val="center" w:pos="4153"/>
        <w:tab w:val="right" w:pos="8306"/>
      </w:tabs>
      <w:jc w:val="center"/>
    </w:pPr>
    <w:rPr>
      <w:sz w:val="18"/>
      <w:szCs w:val="18"/>
    </w:rPr>
  </w:style>
  <w:style w:type="character" w:customStyle="1" w:styleId="Char">
    <w:name w:val="页眉 Char"/>
    <w:basedOn w:val="a0"/>
    <w:link w:val="a3"/>
    <w:rsid w:val="00BD23D1"/>
    <w:rPr>
      <w:rFonts w:ascii="Tahoma" w:hAnsi="Tahoma"/>
      <w:sz w:val="18"/>
      <w:szCs w:val="18"/>
    </w:rPr>
  </w:style>
  <w:style w:type="paragraph" w:styleId="a4">
    <w:name w:val="footer"/>
    <w:basedOn w:val="a"/>
    <w:link w:val="Char0"/>
    <w:rsid w:val="00BD23D1"/>
    <w:pPr>
      <w:tabs>
        <w:tab w:val="center" w:pos="4153"/>
        <w:tab w:val="right" w:pos="8306"/>
      </w:tabs>
    </w:pPr>
    <w:rPr>
      <w:sz w:val="18"/>
      <w:szCs w:val="18"/>
    </w:rPr>
  </w:style>
  <w:style w:type="character" w:customStyle="1" w:styleId="Char0">
    <w:name w:val="页脚 Char"/>
    <w:basedOn w:val="a0"/>
    <w:link w:val="a4"/>
    <w:rsid w:val="00BD23D1"/>
    <w:rPr>
      <w:rFonts w:ascii="Tahoma" w:hAnsi="Tahoma"/>
      <w:sz w:val="18"/>
      <w:szCs w:val="18"/>
    </w:rPr>
  </w:style>
  <w:style w:type="character" w:customStyle="1" w:styleId="2Char">
    <w:name w:val="标题 2 Char"/>
    <w:basedOn w:val="a0"/>
    <w:link w:val="2"/>
    <w:semiHidden/>
    <w:rsid w:val="000855F2"/>
    <w:rPr>
      <w:rFonts w:asciiTheme="majorHAnsi" w:eastAsiaTheme="majorEastAsia" w:hAnsiTheme="majorHAnsi" w:cstheme="majorBidi"/>
      <w:b/>
      <w:bCs/>
      <w:sz w:val="32"/>
      <w:szCs w:val="32"/>
    </w:rPr>
  </w:style>
  <w:style w:type="character" w:customStyle="1" w:styleId="20">
    <w:name w:val="标题 2 字符"/>
    <w:link w:val="2"/>
    <w:rsid w:val="000855F2"/>
    <w:rPr>
      <w:rFonts w:ascii="微软雅黑" w:hAnsi="微软雅黑"/>
      <w:b/>
      <w:bCs/>
      <w:kern w:val="2"/>
      <w:sz w:val="36"/>
      <w:szCs w:val="3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3</Pages>
  <Words>154</Words>
  <Characters>879</Characters>
  <Application>Microsoft Office Word</Application>
  <DocSecurity>0</DocSecurity>
  <Lines>7</Lines>
  <Paragraphs>2</Paragraphs>
  <ScaleCrop>false</ScaleCrop>
  <Company/>
  <LinksUpToDate>false</LinksUpToDate>
  <CharactersWithSpaces>1031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陈小菊</dc:creator>
  <cp:lastModifiedBy>lenovo</cp:lastModifiedBy>
  <cp:revision>5</cp:revision>
  <dcterms:created xsi:type="dcterms:W3CDTF">2021-03-11T06:05:00Z</dcterms:created>
  <dcterms:modified xsi:type="dcterms:W3CDTF">2021-03-26T01:54:00Z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