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default" w:ascii="宋体" w:hAnsi="宋体" w:cs="宋体" w:eastAsiaTheme="minorEastAsia"/>
          <w:b/>
          <w:color w:val="000000"/>
          <w:sz w:val="36"/>
          <w:szCs w:val="36"/>
          <w:lang w:val="en-US" w:eastAsia="zh-CN"/>
        </w:rPr>
      </w:pPr>
      <w:r>
        <w:rPr>
          <w:rFonts w:hint="eastAsia" w:ascii="宋体" w:hAnsi="宋体" w:cs="宋体"/>
          <w:b/>
          <w:color w:val="000000"/>
          <w:sz w:val="36"/>
          <w:szCs w:val="36"/>
        </w:rPr>
        <w:t>数字图书馆服务</w:t>
      </w:r>
      <w:r>
        <w:rPr>
          <w:rFonts w:hint="eastAsia" w:ascii="宋体" w:hAnsi="宋体" w:cs="宋体"/>
          <w:b/>
          <w:color w:val="000000"/>
          <w:sz w:val="36"/>
          <w:szCs w:val="36"/>
          <w:lang w:val="en-US" w:eastAsia="zh-CN"/>
        </w:rPr>
        <w:t>项目市场调研功能需求</w:t>
      </w:r>
    </w:p>
    <w:p>
      <w:pPr>
        <w:spacing w:line="360" w:lineRule="auto"/>
        <w:rPr>
          <w:rFonts w:hint="eastAsia" w:ascii="宋体" w:hAnsi="宋体" w:cs="宋体"/>
          <w:b/>
          <w:color w:val="000000"/>
          <w:sz w:val="28"/>
          <w:szCs w:val="28"/>
        </w:rPr>
      </w:pPr>
      <w:r>
        <w:rPr>
          <w:rFonts w:hint="eastAsia" w:ascii="宋体" w:hAnsi="宋体" w:cs="宋体"/>
          <w:b/>
          <w:color w:val="000000"/>
          <w:sz w:val="28"/>
          <w:szCs w:val="28"/>
        </w:rPr>
        <w:t>一、服务要求</w:t>
      </w:r>
    </w:p>
    <w:tbl>
      <w:tblPr>
        <w:tblStyle w:val="7"/>
        <w:tblW w:w="9857"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8"/>
        <w:gridCol w:w="1096"/>
        <w:gridCol w:w="6727"/>
        <w:gridCol w:w="1276"/>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758" w:type="dxa"/>
            <w:tcBorders>
              <w:top w:val="single" w:color="auto" w:sz="4" w:space="0"/>
              <w:left w:val="double" w:color="auto" w:sz="4" w:space="0"/>
              <w:bottom w:val="single" w:color="auto" w:sz="4" w:space="0"/>
              <w:right w:val="single" w:color="auto" w:sz="4" w:space="0"/>
            </w:tcBorders>
            <w:noWrap w:val="0"/>
            <w:vAlign w:val="center"/>
          </w:tcPr>
          <w:p>
            <w:pPr>
              <w:widowControl/>
              <w:spacing w:line="360" w:lineRule="auto"/>
              <w:jc w:val="center"/>
              <w:rPr>
                <w:rFonts w:ascii="宋体" w:hAnsi="宋体" w:cs="宋体"/>
                <w:b/>
                <w:szCs w:val="21"/>
              </w:rPr>
            </w:pPr>
            <w:r>
              <w:rPr>
                <w:rFonts w:hint="eastAsia" w:ascii="宋体" w:hAnsi="宋体" w:cs="宋体"/>
                <w:b/>
                <w:color w:val="000000"/>
                <w:kern w:val="0"/>
                <w:szCs w:val="21"/>
                <w:lang w:val="zh-CN" w:bidi="ar"/>
              </w:rPr>
              <w:t>序号</w:t>
            </w:r>
          </w:p>
        </w:tc>
        <w:tc>
          <w:tcPr>
            <w:tcW w:w="1096"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ascii="宋体" w:hAnsi="宋体" w:cs="宋体"/>
                <w:b/>
                <w:color w:val="000000"/>
                <w:kern w:val="0"/>
                <w:szCs w:val="21"/>
                <w:lang w:val="zh-CN" w:bidi="ar"/>
              </w:rPr>
            </w:pPr>
            <w:r>
              <w:rPr>
                <w:rFonts w:hint="eastAsia" w:ascii="宋体" w:hAnsi="宋体" w:cs="宋体"/>
                <w:b/>
                <w:color w:val="000000"/>
                <w:kern w:val="0"/>
                <w:szCs w:val="21"/>
                <w:lang w:val="zh-CN" w:bidi="ar"/>
              </w:rPr>
              <w:t>功能</w:t>
            </w:r>
          </w:p>
          <w:p>
            <w:pPr>
              <w:widowControl/>
              <w:spacing w:line="360" w:lineRule="auto"/>
              <w:jc w:val="center"/>
              <w:rPr>
                <w:rFonts w:ascii="宋体" w:hAnsi="宋体" w:cs="宋体"/>
                <w:b/>
                <w:szCs w:val="21"/>
              </w:rPr>
            </w:pPr>
            <w:r>
              <w:rPr>
                <w:rFonts w:hint="eastAsia" w:ascii="宋体" w:hAnsi="宋体" w:cs="宋体"/>
                <w:b/>
                <w:color w:val="000000"/>
                <w:kern w:val="0"/>
                <w:szCs w:val="21"/>
                <w:lang w:val="zh-CN" w:bidi="ar"/>
              </w:rPr>
              <w:t>类别</w:t>
            </w:r>
          </w:p>
        </w:tc>
        <w:tc>
          <w:tcPr>
            <w:tcW w:w="6727"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ascii="宋体" w:hAnsi="宋体" w:cs="宋体"/>
                <w:b/>
                <w:szCs w:val="21"/>
              </w:rPr>
            </w:pPr>
            <w:r>
              <w:rPr>
                <w:rFonts w:hint="eastAsia" w:ascii="宋体" w:hAnsi="宋体" w:cs="宋体"/>
                <w:b/>
                <w:color w:val="000000"/>
                <w:kern w:val="0"/>
                <w:szCs w:val="21"/>
                <w:lang w:val="zh-CN" w:bidi="ar"/>
              </w:rPr>
              <w:t>功能要求</w:t>
            </w:r>
          </w:p>
        </w:tc>
        <w:tc>
          <w:tcPr>
            <w:tcW w:w="1276" w:type="dxa"/>
            <w:tcBorders>
              <w:top w:val="single" w:color="auto" w:sz="4" w:space="0"/>
              <w:left w:val="single" w:color="auto" w:sz="4" w:space="0"/>
              <w:bottom w:val="single" w:color="auto" w:sz="4" w:space="0"/>
              <w:right w:val="double" w:color="auto" w:sz="4" w:space="0"/>
            </w:tcBorders>
            <w:noWrap w:val="0"/>
            <w:vAlign w:val="center"/>
          </w:tcPr>
          <w:p>
            <w:pPr>
              <w:widowControl/>
              <w:spacing w:line="360" w:lineRule="auto"/>
              <w:jc w:val="center"/>
              <w:rPr>
                <w:rFonts w:ascii="宋体" w:hAnsi="宋体" w:cs="宋体"/>
                <w:b/>
                <w:szCs w:val="21"/>
              </w:rPr>
            </w:pPr>
            <w:r>
              <w:rPr>
                <w:rFonts w:hint="eastAsia" w:ascii="宋体" w:hAnsi="宋体" w:cs="宋体"/>
                <w:b/>
                <w:color w:val="000000"/>
                <w:kern w:val="0"/>
                <w:szCs w:val="21"/>
                <w:lang w:val="zh-CN" w:bidi="ar"/>
              </w:rPr>
              <w:t>备注</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060" w:hRule="atLeast"/>
          <w:jc w:val="center"/>
        </w:trPr>
        <w:tc>
          <w:tcPr>
            <w:tcW w:w="758" w:type="dxa"/>
            <w:vMerge w:val="restart"/>
            <w:tcBorders>
              <w:top w:val="single" w:color="auto" w:sz="4" w:space="0"/>
              <w:left w:val="double" w:color="auto" w:sz="4" w:space="0"/>
              <w:right w:val="single" w:color="auto" w:sz="4" w:space="0"/>
            </w:tcBorders>
            <w:noWrap w:val="0"/>
            <w:vAlign w:val="center"/>
          </w:tcPr>
          <w:p>
            <w:pPr>
              <w:spacing w:line="360" w:lineRule="auto"/>
              <w:jc w:val="center"/>
              <w:rPr>
                <w:rFonts w:ascii="宋体" w:hAnsi="宋体" w:cs="宋体"/>
                <w:color w:val="000000"/>
                <w:szCs w:val="21"/>
              </w:rPr>
            </w:pPr>
            <w:r>
              <w:rPr>
                <w:rFonts w:hint="eastAsia" w:ascii="宋体" w:hAnsi="宋体" w:cs="宋体"/>
                <w:color w:val="000000"/>
                <w:szCs w:val="21"/>
              </w:rPr>
              <w:t>1</w:t>
            </w:r>
          </w:p>
        </w:tc>
        <w:tc>
          <w:tcPr>
            <w:tcW w:w="1096" w:type="dxa"/>
            <w:vMerge w:val="restart"/>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ascii="宋体" w:hAnsi="宋体" w:cs="宋体"/>
                <w:color w:val="000000"/>
                <w:szCs w:val="21"/>
              </w:rPr>
            </w:pPr>
            <w:r>
              <w:rPr>
                <w:rFonts w:hint="eastAsia" w:ascii="宋体" w:hAnsi="宋体" w:cs="宋体"/>
                <w:color w:val="000000"/>
                <w:szCs w:val="21"/>
              </w:rPr>
              <w:t>一站式登录学习平台门户网站</w:t>
            </w:r>
          </w:p>
        </w:tc>
        <w:tc>
          <w:tcPr>
            <w:tcW w:w="6727" w:type="dxa"/>
            <w:tcBorders>
              <w:top w:val="single" w:color="auto" w:sz="4" w:space="0"/>
              <w:left w:val="single" w:color="auto" w:sz="4" w:space="0"/>
              <w:bottom w:val="single" w:color="auto" w:sz="4" w:space="0"/>
              <w:right w:val="single" w:color="auto" w:sz="4" w:space="0"/>
            </w:tcBorders>
            <w:noWrap w:val="0"/>
            <w:vAlign w:val="center"/>
          </w:tcPr>
          <w:p>
            <w:pPr>
              <w:pStyle w:val="9"/>
              <w:spacing w:line="360" w:lineRule="auto"/>
              <w:ind w:firstLine="0" w:firstLineChars="0"/>
              <w:rPr>
                <w:rFonts w:hint="eastAsia" w:ascii="宋体" w:hAnsi="宋体"/>
                <w:kern w:val="2"/>
                <w:sz w:val="21"/>
                <w:szCs w:val="21"/>
              </w:rPr>
            </w:pPr>
            <w:r>
              <w:rPr>
                <w:rFonts w:hint="eastAsia" w:ascii="宋体" w:hAnsi="宋体"/>
                <w:kern w:val="2"/>
                <w:sz w:val="21"/>
                <w:szCs w:val="21"/>
              </w:rPr>
              <w:t>门户网站要求：</w:t>
            </w:r>
          </w:p>
          <w:p>
            <w:pPr>
              <w:pStyle w:val="9"/>
              <w:spacing w:line="360" w:lineRule="auto"/>
              <w:ind w:firstLine="0" w:firstLineChars="0"/>
              <w:rPr>
                <w:rFonts w:hint="eastAsia" w:ascii="宋体" w:hAnsi="宋体"/>
                <w:kern w:val="2"/>
                <w:sz w:val="21"/>
                <w:szCs w:val="21"/>
              </w:rPr>
            </w:pPr>
            <w:r>
              <w:rPr>
                <w:rFonts w:hint="eastAsia" w:ascii="宋体" w:hAnsi="宋体"/>
                <w:kern w:val="2"/>
                <w:sz w:val="21"/>
                <w:szCs w:val="21"/>
              </w:rPr>
              <w:t>(1)支持创建网站。手机端和电脑端使用同一账号密码登录；</w:t>
            </w:r>
          </w:p>
          <w:p>
            <w:pPr>
              <w:pStyle w:val="9"/>
              <w:spacing w:line="360" w:lineRule="auto"/>
              <w:ind w:firstLine="0" w:firstLineChars="0"/>
              <w:rPr>
                <w:rFonts w:hint="eastAsia" w:ascii="宋体" w:hAnsi="宋体"/>
                <w:kern w:val="2"/>
                <w:sz w:val="21"/>
                <w:szCs w:val="21"/>
              </w:rPr>
            </w:pPr>
            <w:r>
              <w:rPr>
                <w:rFonts w:hint="eastAsia" w:ascii="宋体" w:hAnsi="宋体"/>
                <w:kern w:val="2"/>
                <w:sz w:val="21"/>
                <w:szCs w:val="21"/>
              </w:rPr>
              <w:t>(2)支持随时根据需求对已建网站进行编辑；</w:t>
            </w:r>
          </w:p>
          <w:p>
            <w:pPr>
              <w:pStyle w:val="9"/>
              <w:spacing w:line="360" w:lineRule="auto"/>
              <w:ind w:firstLine="0" w:firstLineChars="0"/>
              <w:rPr>
                <w:rFonts w:hint="eastAsia" w:ascii="宋体" w:hAnsi="宋体"/>
                <w:kern w:val="2"/>
                <w:sz w:val="21"/>
                <w:szCs w:val="21"/>
              </w:rPr>
            </w:pPr>
            <w:r>
              <w:rPr>
                <w:rFonts w:hint="eastAsia" w:ascii="宋体" w:hAnsi="宋体"/>
                <w:kern w:val="2"/>
                <w:sz w:val="21"/>
                <w:szCs w:val="21"/>
              </w:rPr>
              <w:t>(3)支持网站挂接单位自有域名；</w:t>
            </w:r>
          </w:p>
          <w:p>
            <w:pPr>
              <w:pStyle w:val="9"/>
              <w:spacing w:line="360" w:lineRule="auto"/>
              <w:ind w:firstLine="0" w:firstLineChars="0"/>
              <w:rPr>
                <w:rFonts w:hint="eastAsia" w:ascii="宋体" w:hAnsi="宋体"/>
                <w:kern w:val="2"/>
                <w:sz w:val="21"/>
                <w:szCs w:val="21"/>
              </w:rPr>
            </w:pPr>
            <w:r>
              <w:rPr>
                <w:rFonts w:hint="eastAsia" w:ascii="宋体" w:hAnsi="宋体"/>
                <w:kern w:val="2"/>
                <w:sz w:val="21"/>
                <w:szCs w:val="21"/>
              </w:rPr>
              <w:t>(4)支持设置网站访问权限为无需权限和需登录后访问；</w:t>
            </w:r>
          </w:p>
          <w:p>
            <w:pPr>
              <w:pStyle w:val="9"/>
              <w:spacing w:line="360" w:lineRule="auto"/>
              <w:ind w:firstLine="0" w:firstLineChars="0"/>
              <w:rPr>
                <w:rFonts w:hint="eastAsia" w:ascii="宋体" w:hAnsi="宋体"/>
                <w:kern w:val="2"/>
                <w:sz w:val="21"/>
                <w:szCs w:val="21"/>
              </w:rPr>
            </w:pPr>
            <w:r>
              <w:rPr>
                <w:rFonts w:hint="eastAsia" w:ascii="宋体" w:hAnsi="宋体"/>
                <w:kern w:val="2"/>
                <w:sz w:val="21"/>
                <w:szCs w:val="21"/>
              </w:rPr>
              <w:t>(5)支持一种或多种登录方式，包含手机号登录密码登录、邮箱密码登录、工号登录等方式；</w:t>
            </w:r>
          </w:p>
          <w:p>
            <w:pPr>
              <w:pStyle w:val="9"/>
              <w:spacing w:line="360" w:lineRule="auto"/>
              <w:ind w:firstLine="0" w:firstLineChars="0"/>
              <w:rPr>
                <w:rFonts w:hint="eastAsia" w:ascii="宋体" w:hAnsi="宋体"/>
                <w:kern w:val="2"/>
                <w:sz w:val="21"/>
                <w:szCs w:val="21"/>
              </w:rPr>
            </w:pPr>
            <w:r>
              <w:rPr>
                <w:rFonts w:hint="eastAsia" w:ascii="宋体" w:hAnsi="宋体"/>
                <w:kern w:val="2"/>
                <w:sz w:val="21"/>
                <w:szCs w:val="21"/>
              </w:rPr>
              <w:t>(6)一站式登陆电脑版、移动APP学习平台门户网站；</w:t>
            </w:r>
          </w:p>
          <w:p>
            <w:pPr>
              <w:pStyle w:val="9"/>
              <w:spacing w:line="360" w:lineRule="auto"/>
              <w:ind w:firstLine="0" w:firstLineChars="0"/>
              <w:rPr>
                <w:rFonts w:ascii="宋体" w:hAnsi="宋体" w:cs="宋体"/>
                <w:color w:val="000000"/>
                <w:sz w:val="21"/>
                <w:szCs w:val="21"/>
              </w:rPr>
            </w:pPr>
            <w:r>
              <w:rPr>
                <w:rFonts w:hint="eastAsia" w:ascii="宋体" w:hAnsi="宋体"/>
                <w:kern w:val="2"/>
                <w:sz w:val="21"/>
                <w:szCs w:val="21"/>
              </w:rPr>
              <w:t>(7)支持设置网站IP白名单；</w:t>
            </w:r>
          </w:p>
        </w:tc>
        <w:tc>
          <w:tcPr>
            <w:tcW w:w="1276" w:type="dxa"/>
            <w:tcBorders>
              <w:top w:val="single" w:color="auto" w:sz="4" w:space="0"/>
              <w:left w:val="single" w:color="auto" w:sz="4" w:space="0"/>
              <w:bottom w:val="single" w:color="auto" w:sz="4" w:space="0"/>
              <w:right w:val="double" w:color="auto" w:sz="4" w:space="0"/>
            </w:tcBorders>
            <w:noWrap w:val="0"/>
            <w:vAlign w:val="center"/>
          </w:tcPr>
          <w:p>
            <w:pPr>
              <w:widowControl/>
              <w:spacing w:line="360" w:lineRule="auto"/>
              <w:jc w:val="left"/>
              <w:rPr>
                <w:rFonts w:ascii="宋体" w:hAnsi="宋体"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jc w:val="center"/>
        </w:trPr>
        <w:tc>
          <w:tcPr>
            <w:tcW w:w="758" w:type="dxa"/>
            <w:vMerge w:val="continue"/>
            <w:tcBorders>
              <w:left w:val="double" w:color="auto" w:sz="4" w:space="0"/>
              <w:bottom w:val="single" w:color="auto" w:sz="4" w:space="0"/>
              <w:right w:val="single" w:color="auto" w:sz="4" w:space="0"/>
            </w:tcBorders>
            <w:noWrap w:val="0"/>
            <w:vAlign w:val="center"/>
          </w:tcPr>
          <w:p>
            <w:pPr>
              <w:widowControl/>
              <w:spacing w:line="360" w:lineRule="auto"/>
              <w:jc w:val="center"/>
              <w:rPr>
                <w:rFonts w:ascii="宋体" w:hAnsi="宋体" w:cs="宋体"/>
                <w:color w:val="000000"/>
                <w:szCs w:val="21"/>
              </w:rPr>
            </w:pPr>
          </w:p>
        </w:tc>
        <w:tc>
          <w:tcPr>
            <w:tcW w:w="1096"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ascii="宋体" w:hAnsi="宋体" w:cs="宋体"/>
                <w:color w:val="000000"/>
                <w:szCs w:val="21"/>
              </w:rPr>
            </w:pPr>
          </w:p>
        </w:tc>
        <w:tc>
          <w:tcPr>
            <w:tcW w:w="6727"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ascii="宋体" w:hAnsi="宋体"/>
                <w:b/>
                <w:bCs/>
                <w:szCs w:val="21"/>
              </w:rPr>
            </w:pPr>
            <w:r>
              <w:rPr>
                <w:rFonts w:hint="eastAsia" w:ascii="宋体" w:hAnsi="宋体"/>
                <w:szCs w:val="21"/>
              </w:rPr>
              <w:t>提供院内IP内访问的链接和院外访问的链接，院外访问时内嵌VPN功能，用户不需要再单独安装VPN软件，即可实现单点登陆，并具有与院内访问一样的权限。</w:t>
            </w:r>
          </w:p>
        </w:tc>
        <w:tc>
          <w:tcPr>
            <w:tcW w:w="1276" w:type="dxa"/>
            <w:tcBorders>
              <w:top w:val="single" w:color="auto" w:sz="4" w:space="0"/>
              <w:left w:val="single" w:color="auto" w:sz="4" w:space="0"/>
              <w:bottom w:val="single" w:color="auto" w:sz="4" w:space="0"/>
              <w:right w:val="double" w:color="auto" w:sz="4" w:space="0"/>
            </w:tcBorders>
            <w:noWrap w:val="0"/>
            <w:vAlign w:val="center"/>
          </w:tcPr>
          <w:p>
            <w:pPr>
              <w:widowControl/>
              <w:spacing w:line="360" w:lineRule="auto"/>
              <w:jc w:val="left"/>
              <w:rPr>
                <w:rFonts w:ascii="宋体" w:hAnsi="宋体"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58" w:type="dxa"/>
            <w:vMerge w:val="restart"/>
            <w:tcBorders>
              <w:top w:val="single" w:color="auto" w:sz="4" w:space="0"/>
              <w:left w:val="double" w:color="auto" w:sz="4" w:space="0"/>
              <w:right w:val="single" w:color="auto" w:sz="4" w:space="0"/>
            </w:tcBorders>
            <w:noWrap w:val="0"/>
            <w:vAlign w:val="center"/>
          </w:tcPr>
          <w:p>
            <w:pPr>
              <w:spacing w:line="360" w:lineRule="auto"/>
              <w:jc w:val="center"/>
              <w:rPr>
                <w:rFonts w:ascii="宋体" w:hAnsi="宋体" w:cs="宋体"/>
                <w:color w:val="000000"/>
                <w:szCs w:val="21"/>
              </w:rPr>
            </w:pPr>
            <w:r>
              <w:rPr>
                <w:rFonts w:hint="eastAsia" w:ascii="宋体" w:hAnsi="宋体" w:cs="宋体"/>
                <w:color w:val="000000"/>
                <w:szCs w:val="21"/>
              </w:rPr>
              <w:t>2</w:t>
            </w:r>
          </w:p>
        </w:tc>
        <w:tc>
          <w:tcPr>
            <w:tcW w:w="1096" w:type="dxa"/>
            <w:vMerge w:val="restart"/>
            <w:tcBorders>
              <w:top w:val="single" w:color="auto" w:sz="4" w:space="0"/>
              <w:left w:val="single" w:color="auto" w:sz="4" w:space="0"/>
              <w:right w:val="single" w:color="auto" w:sz="4" w:space="0"/>
            </w:tcBorders>
            <w:noWrap w:val="0"/>
            <w:vAlign w:val="center"/>
          </w:tcPr>
          <w:p>
            <w:pPr>
              <w:widowControl/>
              <w:spacing w:line="360" w:lineRule="auto"/>
              <w:jc w:val="left"/>
              <w:rPr>
                <w:rFonts w:ascii="宋体" w:hAnsi="宋体" w:cs="宋体"/>
                <w:color w:val="000000"/>
                <w:szCs w:val="21"/>
              </w:rPr>
            </w:pPr>
            <w:r>
              <w:rPr>
                <w:rFonts w:hint="eastAsia" w:ascii="宋体" w:hAnsi="宋体" w:cs="宋体"/>
                <w:color w:val="000000"/>
                <w:szCs w:val="21"/>
              </w:rPr>
              <w:t>移动端APP学习平台门户</w:t>
            </w:r>
          </w:p>
        </w:tc>
        <w:tc>
          <w:tcPr>
            <w:tcW w:w="6727"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ascii="宋体" w:hAnsi="宋体" w:cs="宋体"/>
                <w:color w:val="000000"/>
                <w:szCs w:val="21"/>
              </w:rPr>
            </w:pPr>
            <w:r>
              <w:rPr>
                <w:rFonts w:hint="eastAsia" w:ascii="宋体" w:hAnsi="宋体" w:cs="宋体"/>
                <w:color w:val="000000"/>
                <w:szCs w:val="21"/>
              </w:rPr>
              <w:t>1、提供手机APP（分安卓和苹果两个版本），可与电脑版已注册的读者账号统一认证，无需读者重复注册。</w:t>
            </w:r>
          </w:p>
        </w:tc>
        <w:tc>
          <w:tcPr>
            <w:tcW w:w="1276" w:type="dxa"/>
            <w:tcBorders>
              <w:top w:val="single" w:color="auto" w:sz="4" w:space="0"/>
              <w:left w:val="single" w:color="auto" w:sz="4" w:space="0"/>
              <w:bottom w:val="single" w:color="auto" w:sz="4" w:space="0"/>
              <w:right w:val="double" w:color="auto" w:sz="4" w:space="0"/>
            </w:tcBorders>
            <w:noWrap w:val="0"/>
            <w:vAlign w:val="center"/>
          </w:tcPr>
          <w:p>
            <w:pPr>
              <w:widowControl/>
              <w:spacing w:line="360" w:lineRule="auto"/>
              <w:jc w:val="left"/>
              <w:rPr>
                <w:rFonts w:ascii="宋体" w:hAnsi="宋体"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484" w:hRule="atLeast"/>
          <w:jc w:val="center"/>
        </w:trPr>
        <w:tc>
          <w:tcPr>
            <w:tcW w:w="758" w:type="dxa"/>
            <w:vMerge w:val="continue"/>
            <w:tcBorders>
              <w:left w:val="double" w:color="auto" w:sz="4" w:space="0"/>
              <w:right w:val="single" w:color="auto" w:sz="4" w:space="0"/>
            </w:tcBorders>
            <w:noWrap w:val="0"/>
            <w:vAlign w:val="center"/>
          </w:tcPr>
          <w:p>
            <w:pPr>
              <w:spacing w:line="360" w:lineRule="auto"/>
              <w:jc w:val="center"/>
              <w:rPr>
                <w:rFonts w:ascii="宋体" w:hAnsi="宋体" w:cs="宋体"/>
                <w:color w:val="000000"/>
                <w:szCs w:val="21"/>
              </w:rPr>
            </w:pPr>
          </w:p>
        </w:tc>
        <w:tc>
          <w:tcPr>
            <w:tcW w:w="1096" w:type="dxa"/>
            <w:vMerge w:val="continue"/>
            <w:tcBorders>
              <w:left w:val="single" w:color="auto" w:sz="4" w:space="0"/>
              <w:right w:val="single" w:color="auto" w:sz="4" w:space="0"/>
            </w:tcBorders>
            <w:noWrap w:val="0"/>
            <w:vAlign w:val="center"/>
          </w:tcPr>
          <w:p>
            <w:pPr>
              <w:widowControl/>
              <w:spacing w:line="360" w:lineRule="auto"/>
              <w:jc w:val="left"/>
              <w:rPr>
                <w:rFonts w:ascii="宋体" w:hAnsi="宋体" w:cs="宋体"/>
                <w:color w:val="000000"/>
                <w:szCs w:val="21"/>
              </w:rPr>
            </w:pPr>
          </w:p>
        </w:tc>
        <w:tc>
          <w:tcPr>
            <w:tcW w:w="6727"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ascii="宋体" w:hAnsi="宋体"/>
                <w:szCs w:val="21"/>
              </w:rPr>
            </w:pPr>
            <w:r>
              <w:rPr>
                <w:rFonts w:hint="eastAsia" w:ascii="宋体" w:hAnsi="宋体"/>
                <w:szCs w:val="21"/>
              </w:rPr>
              <w:t>2.对只有电脑版的、不适合手机访问的资源，根据甲方的需求，作移动端自适应改造，以适应各类手机终端的使用，并实现单点登陆。移动端自适应改的电子资源可包括：中国知网、万方医学、维普、Elsevier、Wiley、Springer、Web of Science、本地PubMed、UpToData</w:t>
            </w:r>
            <w:r>
              <w:rPr>
                <w:rFonts w:hint="eastAsia" w:ascii="宋体" w:hAnsi="宋体"/>
                <w:szCs w:val="21"/>
                <w:lang w:eastAsia="zh-CN"/>
              </w:rPr>
              <w:t>、</w:t>
            </w:r>
            <w:r>
              <w:rPr>
                <w:rFonts w:hint="eastAsia" w:ascii="宋体" w:hAnsi="宋体"/>
                <w:szCs w:val="21"/>
                <w:lang w:val="en-US" w:eastAsia="zh-CN"/>
              </w:rPr>
              <w:t>BMJ</w:t>
            </w:r>
            <w:r>
              <w:rPr>
                <w:rFonts w:hint="eastAsia" w:ascii="宋体" w:hAnsi="宋体"/>
                <w:szCs w:val="21"/>
              </w:rPr>
              <w:t>等十几种高校及医院常用的电子资源。</w:t>
            </w:r>
          </w:p>
        </w:tc>
        <w:tc>
          <w:tcPr>
            <w:tcW w:w="1276" w:type="dxa"/>
            <w:tcBorders>
              <w:top w:val="single" w:color="auto" w:sz="4" w:space="0"/>
              <w:left w:val="single" w:color="auto" w:sz="4" w:space="0"/>
              <w:right w:val="double" w:color="auto" w:sz="4" w:space="0"/>
            </w:tcBorders>
            <w:noWrap w:val="0"/>
            <w:vAlign w:val="center"/>
          </w:tcPr>
          <w:p>
            <w:pPr>
              <w:widowControl/>
              <w:spacing w:line="360" w:lineRule="auto"/>
              <w:jc w:val="left"/>
              <w:rPr>
                <w:rFonts w:ascii="宋体" w:hAnsi="宋体"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758" w:type="dxa"/>
            <w:vMerge w:val="continue"/>
            <w:tcBorders>
              <w:left w:val="double" w:color="auto" w:sz="4" w:space="0"/>
              <w:right w:val="single" w:color="auto" w:sz="4" w:space="0"/>
            </w:tcBorders>
            <w:noWrap w:val="0"/>
            <w:vAlign w:val="center"/>
          </w:tcPr>
          <w:p>
            <w:pPr>
              <w:spacing w:line="360" w:lineRule="auto"/>
              <w:jc w:val="center"/>
              <w:rPr>
                <w:rFonts w:ascii="宋体" w:hAnsi="宋体" w:cs="宋体"/>
                <w:color w:val="000000"/>
                <w:szCs w:val="21"/>
              </w:rPr>
            </w:pPr>
          </w:p>
        </w:tc>
        <w:tc>
          <w:tcPr>
            <w:tcW w:w="1096" w:type="dxa"/>
            <w:vMerge w:val="continue"/>
            <w:tcBorders>
              <w:left w:val="single" w:color="auto" w:sz="4" w:space="0"/>
              <w:right w:val="single" w:color="auto" w:sz="4" w:space="0"/>
            </w:tcBorders>
            <w:noWrap w:val="0"/>
            <w:vAlign w:val="center"/>
          </w:tcPr>
          <w:p>
            <w:pPr>
              <w:widowControl/>
              <w:spacing w:line="360" w:lineRule="auto"/>
              <w:jc w:val="left"/>
              <w:rPr>
                <w:rFonts w:ascii="宋体" w:hAnsi="宋体" w:cs="宋体"/>
                <w:color w:val="000000"/>
                <w:szCs w:val="21"/>
              </w:rPr>
            </w:pPr>
          </w:p>
        </w:tc>
        <w:tc>
          <w:tcPr>
            <w:tcW w:w="6727"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ascii="宋体" w:hAnsi="宋体"/>
                <w:szCs w:val="21"/>
              </w:rPr>
            </w:pPr>
            <w:r>
              <w:rPr>
                <w:rFonts w:hint="eastAsia" w:ascii="宋体" w:hAnsi="宋体"/>
                <w:szCs w:val="21"/>
              </w:rPr>
              <w:t>3.平台仅是对原电子资源官方网站的移动端作自适应改造，检索语法、检索结果，与官方网站完全一样。</w:t>
            </w:r>
          </w:p>
        </w:tc>
        <w:tc>
          <w:tcPr>
            <w:tcW w:w="1276" w:type="dxa"/>
            <w:tcBorders>
              <w:left w:val="single" w:color="auto" w:sz="4" w:space="0"/>
              <w:right w:val="double" w:color="auto" w:sz="4" w:space="0"/>
            </w:tcBorders>
            <w:noWrap w:val="0"/>
            <w:vAlign w:val="center"/>
          </w:tcPr>
          <w:p>
            <w:pPr>
              <w:widowControl/>
              <w:spacing w:line="360" w:lineRule="auto"/>
              <w:jc w:val="left"/>
              <w:rPr>
                <w:rFonts w:ascii="宋体" w:hAnsi="宋体"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483" w:hRule="atLeast"/>
          <w:jc w:val="center"/>
        </w:trPr>
        <w:tc>
          <w:tcPr>
            <w:tcW w:w="758" w:type="dxa"/>
            <w:vMerge w:val="continue"/>
            <w:tcBorders>
              <w:left w:val="double" w:color="auto" w:sz="4" w:space="0"/>
              <w:bottom w:val="single" w:color="auto" w:sz="4" w:space="0"/>
              <w:right w:val="single" w:color="auto" w:sz="4" w:space="0"/>
            </w:tcBorders>
            <w:noWrap w:val="0"/>
            <w:vAlign w:val="center"/>
          </w:tcPr>
          <w:p>
            <w:pPr>
              <w:widowControl/>
              <w:spacing w:line="360" w:lineRule="auto"/>
              <w:jc w:val="center"/>
              <w:rPr>
                <w:rFonts w:ascii="宋体" w:hAnsi="宋体" w:cs="宋体"/>
                <w:color w:val="000000"/>
                <w:szCs w:val="21"/>
              </w:rPr>
            </w:pPr>
          </w:p>
        </w:tc>
        <w:tc>
          <w:tcPr>
            <w:tcW w:w="1096" w:type="dxa"/>
            <w:vMerge w:val="continue"/>
            <w:tcBorders>
              <w:left w:val="single" w:color="auto" w:sz="4" w:space="0"/>
              <w:right w:val="single" w:color="auto" w:sz="4" w:space="0"/>
            </w:tcBorders>
            <w:noWrap w:val="0"/>
            <w:vAlign w:val="center"/>
          </w:tcPr>
          <w:p>
            <w:pPr>
              <w:widowControl/>
              <w:spacing w:line="360" w:lineRule="auto"/>
              <w:jc w:val="left"/>
              <w:rPr>
                <w:rFonts w:ascii="宋体" w:hAnsi="宋体" w:cs="宋体"/>
                <w:color w:val="000000"/>
                <w:szCs w:val="21"/>
              </w:rPr>
            </w:pPr>
          </w:p>
        </w:tc>
        <w:tc>
          <w:tcPr>
            <w:tcW w:w="6727"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ascii="宋体" w:hAnsi="宋体"/>
                <w:szCs w:val="21"/>
              </w:rPr>
            </w:pPr>
            <w:r>
              <w:rPr>
                <w:rFonts w:hint="eastAsia" w:ascii="宋体" w:hAnsi="宋体"/>
                <w:szCs w:val="21"/>
              </w:rPr>
              <w:t>4.核心期刊中英文对照翻译及朗读来源于：医学界三大刊：新英格兰医学杂志（NEJM）、柳叶刀（Lancet）、美国医学会杂志（JAMA）；精选来源于自然（Nature）、科学（Science）和细胞（Cell）；CA论文来源于神刊《CA-A cancer journal for clinicians》。中英文对照翻译来源于国内知名专家的亲自人工翻译，部分论文含专家的推荐和精彩解读。</w:t>
            </w:r>
          </w:p>
        </w:tc>
        <w:tc>
          <w:tcPr>
            <w:tcW w:w="1276" w:type="dxa"/>
            <w:tcBorders>
              <w:left w:val="single" w:color="auto" w:sz="4" w:space="0"/>
              <w:bottom w:val="single" w:color="auto" w:sz="4" w:space="0"/>
              <w:right w:val="double" w:color="auto" w:sz="4" w:space="0"/>
            </w:tcBorders>
            <w:noWrap w:val="0"/>
            <w:vAlign w:val="center"/>
          </w:tcPr>
          <w:p>
            <w:pPr>
              <w:widowControl/>
              <w:spacing w:line="360" w:lineRule="auto"/>
              <w:jc w:val="left"/>
              <w:rPr>
                <w:rFonts w:ascii="宋体" w:hAnsi="宋体"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758" w:type="dxa"/>
            <w:vMerge w:val="restart"/>
            <w:tcBorders>
              <w:top w:val="single" w:color="auto" w:sz="4" w:space="0"/>
              <w:left w:val="double" w:color="auto" w:sz="4" w:space="0"/>
              <w:right w:val="single" w:color="auto" w:sz="4" w:space="0"/>
            </w:tcBorders>
            <w:noWrap w:val="0"/>
            <w:vAlign w:val="center"/>
          </w:tcPr>
          <w:p>
            <w:pPr>
              <w:widowControl/>
              <w:spacing w:line="360" w:lineRule="auto"/>
              <w:jc w:val="center"/>
              <w:rPr>
                <w:rFonts w:ascii="宋体" w:hAnsi="宋体" w:cs="宋体"/>
                <w:color w:val="000000"/>
                <w:szCs w:val="21"/>
              </w:rPr>
            </w:pPr>
            <w:r>
              <w:rPr>
                <w:rFonts w:hint="eastAsia" w:ascii="宋体" w:hAnsi="宋体" w:cs="宋体"/>
                <w:color w:val="000000"/>
                <w:szCs w:val="21"/>
              </w:rPr>
              <w:t>3</w:t>
            </w:r>
          </w:p>
        </w:tc>
        <w:tc>
          <w:tcPr>
            <w:tcW w:w="1096" w:type="dxa"/>
            <w:vMerge w:val="restart"/>
            <w:tcBorders>
              <w:top w:val="single" w:color="auto" w:sz="4" w:space="0"/>
              <w:left w:val="single" w:color="auto" w:sz="4" w:space="0"/>
              <w:right w:val="single" w:color="auto" w:sz="4" w:space="0"/>
            </w:tcBorders>
            <w:noWrap w:val="0"/>
            <w:vAlign w:val="center"/>
          </w:tcPr>
          <w:p>
            <w:pPr>
              <w:widowControl/>
              <w:spacing w:line="360" w:lineRule="auto"/>
              <w:jc w:val="left"/>
              <w:rPr>
                <w:rFonts w:ascii="宋体" w:hAnsi="宋体" w:cs="宋体"/>
                <w:color w:val="000000"/>
                <w:szCs w:val="21"/>
              </w:rPr>
            </w:pPr>
            <w:r>
              <w:rPr>
                <w:rFonts w:hint="eastAsia" w:ascii="宋体" w:hAnsi="宋体" w:cs="宋体"/>
                <w:color w:val="000000"/>
                <w:szCs w:val="21"/>
              </w:rPr>
              <w:t>提供电脑版和移动版图书馆的统一后台管理</w:t>
            </w:r>
          </w:p>
        </w:tc>
        <w:tc>
          <w:tcPr>
            <w:tcW w:w="6727"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ascii="宋体" w:hAnsi="宋体"/>
                <w:szCs w:val="21"/>
              </w:rPr>
            </w:pPr>
            <w:r>
              <w:rPr>
                <w:rFonts w:hint="eastAsia" w:ascii="宋体" w:hAnsi="宋体"/>
                <w:szCs w:val="21"/>
              </w:rPr>
              <w:t>1.方便图书馆管理用户的个人权限，如批量导入读者账号、查询信息、更改密码等，并提供期刊的影响因子、分区信息等的上传设置，以及馆际互借或与第三方的文献互助平台的对接等。</w:t>
            </w:r>
          </w:p>
        </w:tc>
        <w:tc>
          <w:tcPr>
            <w:tcW w:w="1276" w:type="dxa"/>
            <w:tcBorders>
              <w:top w:val="single" w:color="auto" w:sz="4" w:space="0"/>
              <w:left w:val="single" w:color="auto" w:sz="4" w:space="0"/>
              <w:right w:val="double" w:color="auto" w:sz="4" w:space="0"/>
            </w:tcBorders>
            <w:noWrap w:val="0"/>
            <w:vAlign w:val="center"/>
          </w:tcPr>
          <w:p>
            <w:pPr>
              <w:widowControl/>
              <w:spacing w:line="360" w:lineRule="auto"/>
              <w:jc w:val="left"/>
              <w:rPr>
                <w:rFonts w:ascii="宋体" w:hAnsi="宋体"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758" w:type="dxa"/>
            <w:vMerge w:val="continue"/>
            <w:tcBorders>
              <w:left w:val="double" w:color="auto" w:sz="4" w:space="0"/>
              <w:right w:val="single" w:color="auto" w:sz="4" w:space="0"/>
            </w:tcBorders>
            <w:noWrap w:val="0"/>
            <w:vAlign w:val="center"/>
          </w:tcPr>
          <w:p>
            <w:pPr>
              <w:widowControl/>
              <w:spacing w:line="360" w:lineRule="auto"/>
              <w:jc w:val="center"/>
              <w:rPr>
                <w:rFonts w:ascii="宋体" w:hAnsi="宋体" w:cs="宋体"/>
                <w:color w:val="000000"/>
                <w:szCs w:val="21"/>
              </w:rPr>
            </w:pPr>
          </w:p>
        </w:tc>
        <w:tc>
          <w:tcPr>
            <w:tcW w:w="1096" w:type="dxa"/>
            <w:vMerge w:val="continue"/>
            <w:tcBorders>
              <w:left w:val="single" w:color="auto" w:sz="4" w:space="0"/>
              <w:right w:val="single" w:color="auto" w:sz="4" w:space="0"/>
            </w:tcBorders>
            <w:noWrap w:val="0"/>
            <w:vAlign w:val="center"/>
          </w:tcPr>
          <w:p>
            <w:pPr>
              <w:widowControl/>
              <w:spacing w:line="360" w:lineRule="auto"/>
              <w:jc w:val="left"/>
              <w:rPr>
                <w:rFonts w:ascii="宋体" w:hAnsi="宋体" w:cs="宋体"/>
                <w:color w:val="000000"/>
                <w:szCs w:val="21"/>
              </w:rPr>
            </w:pPr>
          </w:p>
        </w:tc>
        <w:tc>
          <w:tcPr>
            <w:tcW w:w="6727"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ascii="宋体" w:hAnsi="宋体"/>
                <w:szCs w:val="21"/>
              </w:rPr>
            </w:pPr>
            <w:r>
              <w:rPr>
                <w:rFonts w:hint="eastAsia" w:ascii="宋体" w:hAnsi="宋体"/>
                <w:szCs w:val="21"/>
              </w:rPr>
              <w:t>2.提供管理员查看和统计用户使用情况的权限，医院管理员可随时在线查看中外文文献使用情况：包括所购每个人对各数据库检索、浏览、下载等记录，可提供各数据库使用统计对比分析。</w:t>
            </w:r>
          </w:p>
        </w:tc>
        <w:tc>
          <w:tcPr>
            <w:tcW w:w="1276" w:type="dxa"/>
            <w:tcBorders>
              <w:left w:val="single" w:color="auto" w:sz="4" w:space="0"/>
              <w:bottom w:val="single" w:color="auto" w:sz="4" w:space="0"/>
              <w:right w:val="double" w:color="auto" w:sz="4" w:space="0"/>
            </w:tcBorders>
            <w:noWrap w:val="0"/>
            <w:vAlign w:val="center"/>
          </w:tcPr>
          <w:p>
            <w:pPr>
              <w:widowControl/>
              <w:spacing w:line="360" w:lineRule="auto"/>
              <w:jc w:val="left"/>
              <w:rPr>
                <w:rFonts w:ascii="宋体" w:hAnsi="宋体"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8" w:type="dxa"/>
            <w:vMerge w:val="restart"/>
            <w:tcBorders>
              <w:top w:val="single" w:color="auto" w:sz="4" w:space="0"/>
              <w:left w:val="double" w:color="auto" w:sz="4" w:space="0"/>
              <w:right w:val="single" w:color="auto" w:sz="4" w:space="0"/>
            </w:tcBorders>
            <w:noWrap w:val="0"/>
            <w:vAlign w:val="center"/>
          </w:tcPr>
          <w:p>
            <w:pPr>
              <w:spacing w:line="360" w:lineRule="auto"/>
              <w:jc w:val="center"/>
              <w:rPr>
                <w:rFonts w:ascii="宋体" w:hAnsi="宋体" w:cs="宋体"/>
                <w:color w:val="000000"/>
                <w:szCs w:val="21"/>
              </w:rPr>
            </w:pPr>
            <w:r>
              <w:rPr>
                <w:rFonts w:hint="eastAsia" w:ascii="宋体" w:hAnsi="宋体" w:cs="宋体"/>
                <w:color w:val="000000"/>
                <w:szCs w:val="21"/>
              </w:rPr>
              <w:t>4</w:t>
            </w:r>
          </w:p>
        </w:tc>
        <w:tc>
          <w:tcPr>
            <w:tcW w:w="1096" w:type="dxa"/>
            <w:vMerge w:val="restart"/>
            <w:tcBorders>
              <w:top w:val="single" w:color="auto" w:sz="4" w:space="0"/>
              <w:left w:val="single" w:color="auto" w:sz="4" w:space="0"/>
              <w:right w:val="single" w:color="auto" w:sz="4" w:space="0"/>
            </w:tcBorders>
            <w:noWrap w:val="0"/>
            <w:vAlign w:val="center"/>
          </w:tcPr>
          <w:p>
            <w:pPr>
              <w:widowControl/>
              <w:spacing w:line="360" w:lineRule="auto"/>
              <w:jc w:val="left"/>
              <w:rPr>
                <w:rFonts w:ascii="宋体" w:hAnsi="宋体" w:cs="宋体"/>
                <w:color w:val="000000"/>
                <w:szCs w:val="21"/>
              </w:rPr>
            </w:pPr>
            <w:r>
              <w:rPr>
                <w:rFonts w:hint="eastAsia" w:ascii="宋体" w:hAnsi="宋体" w:cs="宋体"/>
                <w:color w:val="000000"/>
                <w:szCs w:val="21"/>
              </w:rPr>
              <w:t>文献信息资源统一检索平台</w:t>
            </w:r>
          </w:p>
        </w:tc>
        <w:tc>
          <w:tcPr>
            <w:tcW w:w="6727"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ascii="宋体" w:hAnsi="宋体"/>
                <w:szCs w:val="21"/>
              </w:rPr>
            </w:pPr>
            <w:r>
              <w:rPr>
                <w:rFonts w:hint="eastAsia" w:ascii="宋体" w:hAnsi="宋体" w:cs="宋体"/>
                <w:color w:val="000000"/>
                <w:szCs w:val="21"/>
              </w:rPr>
              <w:t>1.</w:t>
            </w:r>
            <w:r>
              <w:rPr>
                <w:rFonts w:hint="eastAsia" w:ascii="宋体" w:hAnsi="宋体"/>
                <w:szCs w:val="21"/>
              </w:rPr>
              <w:t>整合本院已购买和将购买的数据库资源，一站式检索包含图书、期刊论文、学位论文等多种类型的文献，保证查全率与查准率。保证检索高效统一、系统整合、互联互通、信息共享。</w:t>
            </w:r>
          </w:p>
        </w:tc>
        <w:tc>
          <w:tcPr>
            <w:tcW w:w="1276" w:type="dxa"/>
            <w:tcBorders>
              <w:top w:val="single" w:color="auto" w:sz="4" w:space="0"/>
              <w:left w:val="single" w:color="auto" w:sz="4" w:space="0"/>
              <w:right w:val="double" w:color="auto" w:sz="4" w:space="0"/>
            </w:tcBorders>
            <w:noWrap w:val="0"/>
            <w:vAlign w:val="center"/>
          </w:tcPr>
          <w:p>
            <w:pPr>
              <w:widowControl/>
              <w:spacing w:line="360" w:lineRule="auto"/>
              <w:jc w:val="left"/>
              <w:rPr>
                <w:rFonts w:ascii="宋体" w:hAnsi="宋体"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58" w:type="dxa"/>
            <w:vMerge w:val="continue"/>
            <w:tcBorders>
              <w:left w:val="double" w:color="auto" w:sz="4" w:space="0"/>
              <w:right w:val="single" w:color="auto" w:sz="4" w:space="0"/>
            </w:tcBorders>
            <w:noWrap w:val="0"/>
            <w:vAlign w:val="center"/>
          </w:tcPr>
          <w:p>
            <w:pPr>
              <w:widowControl/>
              <w:spacing w:line="360" w:lineRule="auto"/>
              <w:jc w:val="center"/>
              <w:rPr>
                <w:rFonts w:ascii="宋体" w:hAnsi="宋体" w:cs="宋体"/>
                <w:color w:val="000000"/>
                <w:szCs w:val="21"/>
              </w:rPr>
            </w:pPr>
          </w:p>
        </w:tc>
        <w:tc>
          <w:tcPr>
            <w:tcW w:w="1096" w:type="dxa"/>
            <w:vMerge w:val="continue"/>
            <w:tcBorders>
              <w:left w:val="single" w:color="auto" w:sz="4" w:space="0"/>
              <w:right w:val="single" w:color="auto" w:sz="4" w:space="0"/>
            </w:tcBorders>
            <w:noWrap w:val="0"/>
            <w:vAlign w:val="center"/>
          </w:tcPr>
          <w:p>
            <w:pPr>
              <w:widowControl/>
              <w:spacing w:line="360" w:lineRule="auto"/>
              <w:jc w:val="left"/>
              <w:rPr>
                <w:rFonts w:ascii="宋体" w:hAnsi="宋体" w:cs="宋体"/>
                <w:color w:val="000000"/>
                <w:szCs w:val="21"/>
              </w:rPr>
            </w:pPr>
          </w:p>
        </w:tc>
        <w:tc>
          <w:tcPr>
            <w:tcW w:w="6727"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ascii="宋体" w:hAnsi="宋体" w:cs="宋体"/>
                <w:color w:val="000000"/>
                <w:szCs w:val="21"/>
              </w:rPr>
            </w:pPr>
            <w:r>
              <w:rPr>
                <w:rFonts w:hint="eastAsia" w:ascii="宋体" w:hAnsi="宋体" w:cs="宋体"/>
                <w:color w:val="000000"/>
                <w:szCs w:val="21"/>
              </w:rPr>
              <w:t>2.</w:t>
            </w:r>
            <w:r>
              <w:rPr>
                <w:rFonts w:hint="eastAsia" w:ascii="宋体" w:hAnsi="宋体"/>
                <w:szCs w:val="21"/>
              </w:rPr>
              <w:t>可快速得到学术分析支持，提供多种类型文献统计与分析方式。并能全文获取医院所购图书、期刊、报纸等多种类型的文献。</w:t>
            </w:r>
          </w:p>
        </w:tc>
        <w:tc>
          <w:tcPr>
            <w:tcW w:w="1276" w:type="dxa"/>
            <w:tcBorders>
              <w:left w:val="single" w:color="auto" w:sz="4" w:space="0"/>
              <w:right w:val="double" w:color="auto" w:sz="4" w:space="0"/>
            </w:tcBorders>
            <w:noWrap w:val="0"/>
            <w:vAlign w:val="center"/>
          </w:tcPr>
          <w:p>
            <w:pPr>
              <w:widowControl/>
              <w:spacing w:line="360" w:lineRule="auto"/>
              <w:jc w:val="left"/>
              <w:rPr>
                <w:rFonts w:ascii="宋体" w:hAnsi="宋体"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58" w:type="dxa"/>
            <w:tcBorders>
              <w:top w:val="single" w:color="auto" w:sz="4" w:space="0"/>
              <w:left w:val="double" w:color="auto" w:sz="4" w:space="0"/>
              <w:bottom w:val="single" w:color="auto" w:sz="4" w:space="0"/>
              <w:right w:val="single" w:color="auto" w:sz="4" w:space="0"/>
            </w:tcBorders>
            <w:noWrap w:val="0"/>
            <w:vAlign w:val="center"/>
          </w:tcPr>
          <w:p>
            <w:pPr>
              <w:widowControl/>
              <w:spacing w:line="360" w:lineRule="auto"/>
              <w:jc w:val="center"/>
              <w:rPr>
                <w:rFonts w:ascii="宋体" w:hAnsi="宋体" w:cs="宋体"/>
                <w:color w:val="000000"/>
                <w:szCs w:val="21"/>
              </w:rPr>
            </w:pPr>
            <w:r>
              <w:rPr>
                <w:rFonts w:hint="eastAsia" w:ascii="宋体" w:hAnsi="宋体" w:cs="宋体"/>
                <w:color w:val="000000"/>
                <w:szCs w:val="21"/>
              </w:rPr>
              <w:t>5</w:t>
            </w:r>
          </w:p>
        </w:tc>
        <w:tc>
          <w:tcPr>
            <w:tcW w:w="1096"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ascii="宋体" w:hAnsi="宋体" w:cs="宋体"/>
                <w:color w:val="000000"/>
                <w:szCs w:val="21"/>
              </w:rPr>
            </w:pPr>
            <w:r>
              <w:rPr>
                <w:rFonts w:hint="eastAsia" w:ascii="宋体" w:hAnsi="宋体" w:cs="宋体"/>
                <w:color w:val="000000"/>
                <w:szCs w:val="21"/>
              </w:rPr>
              <w:t>外文期刊</w:t>
            </w:r>
          </w:p>
        </w:tc>
        <w:tc>
          <w:tcPr>
            <w:tcW w:w="6727"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ascii="宋体" w:hAnsi="宋体" w:cs="宋体"/>
                <w:color w:val="000000"/>
                <w:szCs w:val="21"/>
              </w:rPr>
            </w:pPr>
            <w:r>
              <w:rPr>
                <w:rFonts w:hint="eastAsia" w:ascii="宋体" w:hAnsi="宋体" w:cs="宋体"/>
                <w:color w:val="000000"/>
                <w:szCs w:val="21"/>
                <w:lang w:val="zh-CN"/>
              </w:rPr>
              <w:t>使用模式：云租用。建设PubMed数据库的本地化访问，保证检索界面与检索结果与官方一致，并新增大数据分析功能（知识图谱、共词分析、知识发现等），检索结果的图形化显示以及信息的相关链接（期刊分区、影响因子、被引次数等）的展示等。</w:t>
            </w:r>
          </w:p>
        </w:tc>
        <w:tc>
          <w:tcPr>
            <w:tcW w:w="1276" w:type="dxa"/>
            <w:tcBorders>
              <w:top w:val="single" w:color="auto" w:sz="4" w:space="0"/>
              <w:left w:val="single" w:color="auto" w:sz="4" w:space="0"/>
              <w:bottom w:val="single" w:color="auto" w:sz="4" w:space="0"/>
              <w:right w:val="double" w:color="auto" w:sz="4" w:space="0"/>
            </w:tcBorders>
            <w:noWrap w:val="0"/>
            <w:vAlign w:val="center"/>
          </w:tcPr>
          <w:p>
            <w:pPr>
              <w:widowControl/>
              <w:spacing w:line="360" w:lineRule="auto"/>
              <w:jc w:val="left"/>
              <w:rPr>
                <w:rFonts w:ascii="宋体" w:hAnsi="宋体"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758" w:type="dxa"/>
            <w:vMerge w:val="restart"/>
            <w:tcBorders>
              <w:top w:val="single" w:color="auto" w:sz="4" w:space="0"/>
              <w:left w:val="double" w:color="auto" w:sz="4" w:space="0"/>
              <w:right w:val="single" w:color="auto" w:sz="4" w:space="0"/>
            </w:tcBorders>
            <w:noWrap w:val="0"/>
            <w:vAlign w:val="center"/>
          </w:tcPr>
          <w:p>
            <w:pPr>
              <w:spacing w:line="360" w:lineRule="auto"/>
              <w:jc w:val="center"/>
              <w:rPr>
                <w:rFonts w:ascii="宋体" w:hAnsi="宋体" w:cs="宋体"/>
                <w:color w:val="000000"/>
                <w:szCs w:val="21"/>
              </w:rPr>
            </w:pPr>
            <w:r>
              <w:rPr>
                <w:rFonts w:hint="eastAsia" w:ascii="宋体" w:hAnsi="宋体" w:cs="宋体"/>
                <w:color w:val="000000"/>
                <w:szCs w:val="21"/>
              </w:rPr>
              <w:t>6</w:t>
            </w:r>
          </w:p>
        </w:tc>
        <w:tc>
          <w:tcPr>
            <w:tcW w:w="1096" w:type="dxa"/>
            <w:vMerge w:val="restart"/>
            <w:tcBorders>
              <w:top w:val="single" w:color="auto" w:sz="4" w:space="0"/>
              <w:left w:val="single" w:color="auto" w:sz="4" w:space="0"/>
              <w:right w:val="single" w:color="auto" w:sz="4" w:space="0"/>
            </w:tcBorders>
            <w:noWrap w:val="0"/>
            <w:vAlign w:val="center"/>
          </w:tcPr>
          <w:p>
            <w:pPr>
              <w:widowControl/>
              <w:spacing w:line="360" w:lineRule="auto"/>
              <w:jc w:val="left"/>
              <w:rPr>
                <w:rFonts w:ascii="宋体" w:hAnsi="宋体" w:cs="宋体"/>
                <w:color w:val="000000"/>
                <w:szCs w:val="21"/>
              </w:rPr>
            </w:pPr>
            <w:r>
              <w:rPr>
                <w:rFonts w:hint="eastAsia" w:ascii="宋体" w:hAnsi="宋体" w:cs="宋体"/>
                <w:color w:val="000000"/>
                <w:szCs w:val="21"/>
              </w:rPr>
              <w:t>中文博硕士学位论文</w:t>
            </w:r>
          </w:p>
        </w:tc>
        <w:tc>
          <w:tcPr>
            <w:tcW w:w="6727"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ascii="宋体" w:hAnsi="宋体" w:cs="宋体"/>
                <w:color w:val="000000"/>
                <w:szCs w:val="21"/>
              </w:rPr>
            </w:pPr>
            <w:r>
              <w:rPr>
                <w:rFonts w:hint="eastAsia" w:ascii="宋体" w:hAnsi="宋体" w:cs="宋体"/>
                <w:color w:val="000000"/>
                <w:szCs w:val="21"/>
                <w:lang w:val="zh-CN"/>
              </w:rPr>
              <w:t>1.使用模式：云</w:t>
            </w:r>
            <w:r>
              <w:rPr>
                <w:rFonts w:hint="eastAsia" w:ascii="宋体" w:hAnsi="宋体" w:cs="宋体"/>
                <w:color w:val="000000"/>
                <w:szCs w:val="21"/>
              </w:rPr>
              <w:t>托管</w:t>
            </w:r>
            <w:r>
              <w:rPr>
                <w:rFonts w:hint="eastAsia" w:ascii="宋体" w:hAnsi="宋体" w:cs="宋体"/>
                <w:color w:val="000000"/>
                <w:szCs w:val="21"/>
                <w:lang w:val="zh-CN"/>
              </w:rPr>
              <w:t>。</w:t>
            </w:r>
            <w:r>
              <w:rPr>
                <w:rFonts w:hint="eastAsia" w:ascii="宋体" w:hAnsi="宋体" w:cs="宋体"/>
                <w:color w:val="000000"/>
                <w:szCs w:val="21"/>
              </w:rPr>
              <w:t>收录80家医学院校以及300多家其它院校，全文文献量超</w:t>
            </w:r>
            <w:r>
              <w:rPr>
                <w:rFonts w:hint="eastAsia" w:ascii="宋体" w:hAnsi="宋体" w:cs="宋体"/>
                <w:color w:val="000000"/>
                <w:szCs w:val="21"/>
                <w:lang w:val="en-US" w:eastAsia="zh-CN"/>
              </w:rPr>
              <w:t>85</w:t>
            </w:r>
            <w:r>
              <w:rPr>
                <w:rFonts w:hint="eastAsia" w:ascii="宋体" w:hAnsi="宋体" w:cs="宋体"/>
                <w:color w:val="000000"/>
                <w:szCs w:val="21"/>
              </w:rPr>
              <w:t>万本，202</w:t>
            </w:r>
            <w:r>
              <w:rPr>
                <w:rFonts w:hint="eastAsia" w:ascii="宋体" w:hAnsi="宋体" w:cs="宋体"/>
                <w:color w:val="000000"/>
                <w:szCs w:val="21"/>
                <w:lang w:val="en-US" w:eastAsia="zh-CN"/>
              </w:rPr>
              <w:t>5</w:t>
            </w:r>
            <w:r>
              <w:rPr>
                <w:rFonts w:hint="eastAsia" w:ascii="宋体" w:hAnsi="宋体" w:cs="宋体"/>
                <w:color w:val="000000"/>
                <w:szCs w:val="21"/>
              </w:rPr>
              <w:t>年更新量至少50000本。服务期满，可将当年数据镜像安装到本地服务器。</w:t>
            </w:r>
          </w:p>
        </w:tc>
        <w:tc>
          <w:tcPr>
            <w:tcW w:w="1276" w:type="dxa"/>
            <w:tcBorders>
              <w:top w:val="single" w:color="auto" w:sz="4" w:space="0"/>
              <w:left w:val="single" w:color="auto" w:sz="4" w:space="0"/>
              <w:bottom w:val="single" w:color="auto" w:sz="4" w:space="0"/>
              <w:right w:val="double" w:color="auto" w:sz="4" w:space="0"/>
            </w:tcBorders>
            <w:noWrap w:val="0"/>
            <w:vAlign w:val="center"/>
          </w:tcPr>
          <w:p>
            <w:pPr>
              <w:widowControl/>
              <w:spacing w:line="360" w:lineRule="auto"/>
              <w:jc w:val="left"/>
              <w:rPr>
                <w:rFonts w:ascii="宋体" w:hAnsi="宋体"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39" w:hRule="atLeast"/>
          <w:jc w:val="center"/>
        </w:trPr>
        <w:tc>
          <w:tcPr>
            <w:tcW w:w="758" w:type="dxa"/>
            <w:vMerge w:val="continue"/>
            <w:tcBorders>
              <w:left w:val="double" w:color="auto" w:sz="4" w:space="0"/>
              <w:right w:val="single" w:color="auto" w:sz="4" w:space="0"/>
            </w:tcBorders>
            <w:noWrap w:val="0"/>
            <w:vAlign w:val="center"/>
          </w:tcPr>
          <w:p>
            <w:pPr>
              <w:spacing w:line="360" w:lineRule="auto"/>
              <w:jc w:val="center"/>
              <w:rPr>
                <w:rFonts w:ascii="宋体" w:hAnsi="宋体" w:cs="宋体"/>
                <w:color w:val="000000"/>
                <w:szCs w:val="21"/>
              </w:rPr>
            </w:pPr>
          </w:p>
        </w:tc>
        <w:tc>
          <w:tcPr>
            <w:tcW w:w="1096" w:type="dxa"/>
            <w:vMerge w:val="continue"/>
            <w:tcBorders>
              <w:left w:val="single" w:color="auto" w:sz="4" w:space="0"/>
              <w:right w:val="single" w:color="auto" w:sz="4" w:space="0"/>
            </w:tcBorders>
            <w:noWrap w:val="0"/>
            <w:vAlign w:val="center"/>
          </w:tcPr>
          <w:p>
            <w:pPr>
              <w:widowControl/>
              <w:spacing w:line="360" w:lineRule="auto"/>
              <w:jc w:val="left"/>
              <w:rPr>
                <w:rFonts w:ascii="宋体" w:hAnsi="宋体" w:cs="宋体"/>
                <w:color w:val="000000"/>
                <w:szCs w:val="21"/>
              </w:rPr>
            </w:pPr>
          </w:p>
        </w:tc>
        <w:tc>
          <w:tcPr>
            <w:tcW w:w="6727"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ascii="宋体" w:hAnsi="宋体" w:cs="宋体"/>
                <w:color w:val="000000"/>
                <w:szCs w:val="21"/>
              </w:rPr>
            </w:pPr>
            <w:r>
              <w:rPr>
                <w:rFonts w:hint="eastAsia" w:ascii="宋体" w:hAnsi="宋体" w:cs="宋体"/>
                <w:color w:val="000000"/>
                <w:szCs w:val="21"/>
                <w:lang w:val="zh-CN"/>
              </w:rPr>
              <w:t>2.</w:t>
            </w:r>
            <w:r>
              <w:rPr>
                <w:rFonts w:hint="eastAsia" w:ascii="宋体" w:hAnsi="宋体" w:cs="宋体"/>
                <w:color w:val="000000"/>
                <w:szCs w:val="21"/>
              </w:rPr>
              <w:t>985、211院校论文99%收录，必须提供至少10份博士授予点授权书。</w:t>
            </w:r>
          </w:p>
        </w:tc>
        <w:tc>
          <w:tcPr>
            <w:tcW w:w="1276" w:type="dxa"/>
            <w:tcBorders>
              <w:top w:val="single" w:color="auto" w:sz="4" w:space="0"/>
              <w:left w:val="single" w:color="auto" w:sz="4" w:space="0"/>
              <w:bottom w:val="single" w:color="auto" w:sz="4" w:space="0"/>
              <w:right w:val="double" w:color="auto" w:sz="4" w:space="0"/>
            </w:tcBorders>
            <w:noWrap w:val="0"/>
            <w:vAlign w:val="center"/>
          </w:tcPr>
          <w:p>
            <w:pPr>
              <w:widowControl/>
              <w:spacing w:line="360" w:lineRule="auto"/>
              <w:jc w:val="left"/>
              <w:rPr>
                <w:rFonts w:ascii="宋体" w:hAnsi="宋体"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58" w:type="dxa"/>
            <w:vMerge w:val="continue"/>
            <w:tcBorders>
              <w:left w:val="double" w:color="auto" w:sz="4" w:space="0"/>
              <w:bottom w:val="single" w:color="auto" w:sz="4" w:space="0"/>
              <w:right w:val="single" w:color="auto" w:sz="4" w:space="0"/>
            </w:tcBorders>
            <w:noWrap w:val="0"/>
            <w:vAlign w:val="center"/>
          </w:tcPr>
          <w:p>
            <w:pPr>
              <w:widowControl/>
              <w:spacing w:line="360" w:lineRule="auto"/>
              <w:jc w:val="center"/>
              <w:rPr>
                <w:rFonts w:ascii="宋体" w:hAnsi="宋体" w:cs="宋体"/>
                <w:color w:val="000000"/>
                <w:szCs w:val="21"/>
              </w:rPr>
            </w:pPr>
          </w:p>
        </w:tc>
        <w:tc>
          <w:tcPr>
            <w:tcW w:w="1096" w:type="dxa"/>
            <w:vMerge w:val="continue"/>
            <w:tcBorders>
              <w:left w:val="single" w:color="auto" w:sz="4" w:space="0"/>
              <w:bottom w:val="single" w:color="auto" w:sz="4" w:space="0"/>
              <w:right w:val="single" w:color="auto" w:sz="4" w:space="0"/>
            </w:tcBorders>
            <w:noWrap w:val="0"/>
            <w:vAlign w:val="center"/>
          </w:tcPr>
          <w:p>
            <w:pPr>
              <w:widowControl/>
              <w:spacing w:line="360" w:lineRule="auto"/>
              <w:jc w:val="left"/>
              <w:rPr>
                <w:rFonts w:ascii="宋体" w:hAnsi="宋体" w:cs="宋体"/>
                <w:color w:val="000000"/>
                <w:szCs w:val="21"/>
              </w:rPr>
            </w:pPr>
          </w:p>
        </w:tc>
        <w:tc>
          <w:tcPr>
            <w:tcW w:w="6727"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ascii="宋体" w:hAnsi="宋体" w:cs="宋体"/>
                <w:color w:val="000000"/>
                <w:szCs w:val="21"/>
                <w:lang w:val="zh-CN"/>
              </w:rPr>
            </w:pPr>
            <w:r>
              <w:rPr>
                <w:rFonts w:hint="eastAsia" w:ascii="宋体" w:hAnsi="宋体" w:cs="宋体"/>
                <w:szCs w:val="21"/>
                <w:lang w:val="zh-CN"/>
              </w:rPr>
              <w:t>3.</w:t>
            </w:r>
            <w:r>
              <w:rPr>
                <w:rFonts w:hint="eastAsia" w:ascii="宋体" w:hAnsi="宋体" w:cs="宋体"/>
                <w:color w:val="000000"/>
                <w:szCs w:val="21"/>
              </w:rPr>
              <w:t>具备在线浏览及本地下载全文功能；</w:t>
            </w:r>
          </w:p>
        </w:tc>
        <w:tc>
          <w:tcPr>
            <w:tcW w:w="1276" w:type="dxa"/>
            <w:tcBorders>
              <w:top w:val="single" w:color="auto" w:sz="4" w:space="0"/>
              <w:left w:val="single" w:color="auto" w:sz="4" w:space="0"/>
              <w:bottom w:val="single" w:color="auto" w:sz="4" w:space="0"/>
              <w:right w:val="double" w:color="auto" w:sz="4" w:space="0"/>
            </w:tcBorders>
            <w:noWrap w:val="0"/>
            <w:vAlign w:val="center"/>
          </w:tcPr>
          <w:p>
            <w:pPr>
              <w:widowControl/>
              <w:spacing w:line="360" w:lineRule="auto"/>
              <w:jc w:val="left"/>
              <w:rPr>
                <w:rFonts w:ascii="宋体" w:hAnsi="宋体"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8" w:type="dxa"/>
            <w:vMerge w:val="restart"/>
            <w:tcBorders>
              <w:top w:val="single" w:color="auto" w:sz="4" w:space="0"/>
              <w:left w:val="double" w:color="auto" w:sz="4" w:space="0"/>
              <w:right w:val="single" w:color="auto" w:sz="4" w:space="0"/>
            </w:tcBorders>
            <w:noWrap w:val="0"/>
            <w:vAlign w:val="center"/>
          </w:tcPr>
          <w:p>
            <w:pPr>
              <w:spacing w:line="360" w:lineRule="auto"/>
              <w:jc w:val="center"/>
              <w:rPr>
                <w:rFonts w:ascii="宋体" w:hAnsi="宋体" w:cs="宋体"/>
                <w:color w:val="000000"/>
                <w:szCs w:val="21"/>
              </w:rPr>
            </w:pPr>
            <w:r>
              <w:rPr>
                <w:rFonts w:hint="eastAsia" w:ascii="宋体" w:hAnsi="宋体" w:cs="宋体"/>
                <w:color w:val="000000"/>
                <w:szCs w:val="21"/>
              </w:rPr>
              <w:t>7</w:t>
            </w:r>
          </w:p>
        </w:tc>
        <w:tc>
          <w:tcPr>
            <w:tcW w:w="1096" w:type="dxa"/>
            <w:vMerge w:val="restart"/>
            <w:tcBorders>
              <w:left w:val="single" w:color="auto" w:sz="4" w:space="0"/>
              <w:right w:val="single" w:color="auto" w:sz="4" w:space="0"/>
            </w:tcBorders>
            <w:noWrap w:val="0"/>
            <w:vAlign w:val="center"/>
          </w:tcPr>
          <w:p>
            <w:pPr>
              <w:widowControl/>
              <w:spacing w:line="360" w:lineRule="auto"/>
              <w:jc w:val="left"/>
              <w:rPr>
                <w:rFonts w:ascii="宋体" w:hAnsi="宋体" w:cs="宋体"/>
                <w:color w:val="000000"/>
                <w:szCs w:val="21"/>
              </w:rPr>
            </w:pPr>
            <w:r>
              <w:rPr>
                <w:rFonts w:hint="eastAsia" w:ascii="宋体" w:hAnsi="宋体" w:cs="宋体"/>
                <w:color w:val="000000"/>
                <w:szCs w:val="21"/>
              </w:rPr>
              <w:t>中文期刊</w:t>
            </w:r>
          </w:p>
        </w:tc>
        <w:tc>
          <w:tcPr>
            <w:tcW w:w="6727"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ascii="宋体" w:hAnsi="宋体" w:cs="宋体"/>
                <w:color w:val="000000"/>
                <w:szCs w:val="21"/>
              </w:rPr>
            </w:pPr>
            <w:r>
              <w:rPr>
                <w:rFonts w:hint="eastAsia" w:ascii="宋体" w:hAnsi="宋体" w:cs="宋体"/>
                <w:color w:val="000000"/>
                <w:szCs w:val="21"/>
                <w:lang w:val="zh-CN"/>
              </w:rPr>
              <w:t>使用模式：云</w:t>
            </w:r>
            <w:r>
              <w:rPr>
                <w:rFonts w:hint="eastAsia" w:ascii="宋体" w:hAnsi="宋体" w:cs="宋体"/>
                <w:color w:val="000000"/>
                <w:szCs w:val="21"/>
              </w:rPr>
              <w:t>托管</w:t>
            </w:r>
            <w:r>
              <w:rPr>
                <w:rFonts w:hint="eastAsia" w:ascii="宋体" w:hAnsi="宋体" w:cs="宋体"/>
                <w:color w:val="000000"/>
                <w:szCs w:val="21"/>
                <w:lang w:val="zh-CN"/>
              </w:rPr>
              <w:t>。</w:t>
            </w:r>
          </w:p>
          <w:p>
            <w:pPr>
              <w:widowControl/>
              <w:spacing w:line="360" w:lineRule="auto"/>
              <w:jc w:val="left"/>
              <w:rPr>
                <w:rFonts w:ascii="宋体" w:hAnsi="宋体" w:cs="宋体"/>
                <w:color w:val="000000"/>
                <w:szCs w:val="21"/>
              </w:rPr>
            </w:pPr>
            <w:r>
              <w:rPr>
                <w:rFonts w:hint="eastAsia" w:ascii="宋体" w:hAnsi="宋体" w:cs="宋体"/>
                <w:color w:val="000000"/>
                <w:szCs w:val="21"/>
              </w:rPr>
              <w:t>1.内容要求：中国公开出版发行的医学及医学相关期刊（含英文版）全文文献，内容涵盖基础医学、临床医学、预防医学、中国医学、 药学、特种医学、生物科学、经营管理、图书情报、计算机及应用、医学教育与外语学习等；服务期满，可将当年数据镜像安装到本地服务器。</w:t>
            </w:r>
          </w:p>
        </w:tc>
        <w:tc>
          <w:tcPr>
            <w:tcW w:w="1276" w:type="dxa"/>
            <w:tcBorders>
              <w:top w:val="single" w:color="auto" w:sz="4" w:space="0"/>
              <w:left w:val="single" w:color="auto" w:sz="4" w:space="0"/>
              <w:right w:val="double" w:color="auto" w:sz="4" w:space="0"/>
            </w:tcBorders>
            <w:noWrap w:val="0"/>
            <w:vAlign w:val="center"/>
          </w:tcPr>
          <w:p>
            <w:pPr>
              <w:widowControl/>
              <w:spacing w:line="360" w:lineRule="auto"/>
              <w:jc w:val="left"/>
              <w:rPr>
                <w:rFonts w:ascii="宋体" w:hAnsi="宋体"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8" w:type="dxa"/>
            <w:vMerge w:val="continue"/>
            <w:tcBorders>
              <w:left w:val="double" w:color="auto" w:sz="4" w:space="0"/>
              <w:right w:val="single" w:color="auto" w:sz="4" w:space="0"/>
            </w:tcBorders>
            <w:noWrap w:val="0"/>
            <w:vAlign w:val="center"/>
          </w:tcPr>
          <w:p>
            <w:pPr>
              <w:spacing w:line="360" w:lineRule="auto"/>
              <w:jc w:val="center"/>
              <w:rPr>
                <w:rFonts w:ascii="宋体" w:hAnsi="宋体" w:cs="宋体"/>
                <w:color w:val="000000"/>
                <w:szCs w:val="21"/>
              </w:rPr>
            </w:pPr>
          </w:p>
        </w:tc>
        <w:tc>
          <w:tcPr>
            <w:tcW w:w="1096" w:type="dxa"/>
            <w:vMerge w:val="continue"/>
            <w:tcBorders>
              <w:left w:val="single" w:color="auto" w:sz="4" w:space="0"/>
              <w:right w:val="single" w:color="auto" w:sz="4" w:space="0"/>
            </w:tcBorders>
            <w:noWrap w:val="0"/>
            <w:vAlign w:val="center"/>
          </w:tcPr>
          <w:p>
            <w:pPr>
              <w:widowControl/>
              <w:spacing w:line="360" w:lineRule="auto"/>
              <w:jc w:val="left"/>
              <w:rPr>
                <w:rFonts w:ascii="宋体" w:hAnsi="宋体" w:cs="宋体"/>
                <w:color w:val="000000"/>
                <w:szCs w:val="21"/>
              </w:rPr>
            </w:pPr>
          </w:p>
        </w:tc>
        <w:tc>
          <w:tcPr>
            <w:tcW w:w="6727"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ascii="宋体" w:hAnsi="宋体" w:cs="宋体"/>
                <w:color w:val="000000"/>
                <w:szCs w:val="21"/>
              </w:rPr>
            </w:pPr>
            <w:r>
              <w:rPr>
                <w:rFonts w:hint="eastAsia" w:ascii="宋体" w:hAnsi="宋体" w:cs="宋体"/>
                <w:color w:val="000000"/>
                <w:szCs w:val="21"/>
              </w:rPr>
              <w:t>2.</w:t>
            </w:r>
            <w:r>
              <w:rPr>
                <w:rFonts w:hint="eastAsia" w:ascii="宋体" w:hAnsi="宋体" w:cs="宋体"/>
                <w:color w:val="000000"/>
                <w:szCs w:val="21"/>
                <w:lang w:val="en-US" w:eastAsia="zh-CN"/>
              </w:rPr>
              <w:t>使用</w:t>
            </w:r>
            <w:r>
              <w:rPr>
                <w:rFonts w:hint="eastAsia" w:ascii="宋体" w:hAnsi="宋体" w:cs="宋体"/>
                <w:color w:val="000000"/>
                <w:szCs w:val="21"/>
              </w:rPr>
              <w:t>时间范围： 202</w:t>
            </w:r>
            <w:r>
              <w:rPr>
                <w:rFonts w:hint="eastAsia" w:ascii="宋体" w:hAnsi="宋体" w:cs="宋体"/>
                <w:color w:val="000000"/>
                <w:szCs w:val="21"/>
                <w:lang w:val="en-US" w:eastAsia="zh-CN"/>
              </w:rPr>
              <w:t>5</w:t>
            </w:r>
            <w:r>
              <w:rPr>
                <w:rFonts w:hint="eastAsia" w:ascii="宋体" w:hAnsi="宋体" w:cs="宋体"/>
                <w:color w:val="000000"/>
                <w:szCs w:val="21"/>
              </w:rPr>
              <w:t>年。</w:t>
            </w:r>
          </w:p>
        </w:tc>
        <w:tc>
          <w:tcPr>
            <w:tcW w:w="1276" w:type="dxa"/>
            <w:tcBorders>
              <w:left w:val="single" w:color="auto" w:sz="4" w:space="0"/>
              <w:right w:val="double" w:color="auto" w:sz="4" w:space="0"/>
            </w:tcBorders>
            <w:noWrap w:val="0"/>
            <w:vAlign w:val="center"/>
          </w:tcPr>
          <w:p>
            <w:pPr>
              <w:widowControl/>
              <w:spacing w:line="360" w:lineRule="auto"/>
              <w:jc w:val="left"/>
              <w:rPr>
                <w:rFonts w:ascii="宋体" w:hAnsi="宋体"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758" w:type="dxa"/>
            <w:vMerge w:val="continue"/>
            <w:tcBorders>
              <w:left w:val="double" w:color="auto" w:sz="4" w:space="0"/>
              <w:right w:val="single" w:color="auto" w:sz="4" w:space="0"/>
            </w:tcBorders>
            <w:noWrap w:val="0"/>
            <w:vAlign w:val="center"/>
          </w:tcPr>
          <w:p>
            <w:pPr>
              <w:spacing w:line="360" w:lineRule="auto"/>
              <w:jc w:val="center"/>
              <w:rPr>
                <w:rFonts w:ascii="宋体" w:hAnsi="宋体" w:cs="宋体"/>
                <w:color w:val="000000"/>
                <w:szCs w:val="21"/>
              </w:rPr>
            </w:pPr>
          </w:p>
        </w:tc>
        <w:tc>
          <w:tcPr>
            <w:tcW w:w="1096" w:type="dxa"/>
            <w:vMerge w:val="continue"/>
            <w:tcBorders>
              <w:left w:val="single" w:color="auto" w:sz="4" w:space="0"/>
              <w:right w:val="single" w:color="auto" w:sz="4" w:space="0"/>
            </w:tcBorders>
            <w:noWrap w:val="0"/>
            <w:vAlign w:val="center"/>
          </w:tcPr>
          <w:p>
            <w:pPr>
              <w:widowControl/>
              <w:spacing w:line="360" w:lineRule="auto"/>
              <w:jc w:val="left"/>
              <w:rPr>
                <w:rFonts w:ascii="宋体" w:hAnsi="宋体" w:cs="宋体"/>
                <w:color w:val="000000"/>
                <w:szCs w:val="21"/>
              </w:rPr>
            </w:pPr>
          </w:p>
        </w:tc>
        <w:tc>
          <w:tcPr>
            <w:tcW w:w="6727"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ascii="宋体" w:hAnsi="宋体" w:cs="宋体"/>
                <w:color w:val="000000"/>
                <w:szCs w:val="21"/>
              </w:rPr>
            </w:pPr>
            <w:r>
              <w:rPr>
                <w:rFonts w:hint="eastAsia" w:ascii="宋体" w:hAnsi="宋体" w:cs="宋体"/>
                <w:color w:val="000000"/>
                <w:szCs w:val="21"/>
              </w:rPr>
              <w:t>3.数据更新：出版时效平均不迟于纸质期刊出版之后2个月，网络数据每日更新；</w:t>
            </w:r>
          </w:p>
        </w:tc>
        <w:tc>
          <w:tcPr>
            <w:tcW w:w="1276" w:type="dxa"/>
            <w:tcBorders>
              <w:left w:val="single" w:color="auto" w:sz="4" w:space="0"/>
              <w:right w:val="double" w:color="auto" w:sz="4" w:space="0"/>
            </w:tcBorders>
            <w:noWrap w:val="0"/>
            <w:vAlign w:val="center"/>
          </w:tcPr>
          <w:p>
            <w:pPr>
              <w:widowControl/>
              <w:spacing w:line="360" w:lineRule="auto"/>
              <w:jc w:val="left"/>
              <w:rPr>
                <w:rFonts w:ascii="宋体" w:hAnsi="宋体"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758" w:type="dxa"/>
            <w:vMerge w:val="continue"/>
            <w:tcBorders>
              <w:left w:val="double" w:color="auto" w:sz="4" w:space="0"/>
              <w:right w:val="single" w:color="auto" w:sz="4" w:space="0"/>
            </w:tcBorders>
            <w:noWrap w:val="0"/>
            <w:vAlign w:val="center"/>
          </w:tcPr>
          <w:p>
            <w:pPr>
              <w:spacing w:line="360" w:lineRule="auto"/>
              <w:jc w:val="center"/>
              <w:rPr>
                <w:rFonts w:ascii="宋体" w:hAnsi="宋体" w:cs="宋体"/>
                <w:color w:val="000000"/>
                <w:szCs w:val="21"/>
              </w:rPr>
            </w:pPr>
          </w:p>
        </w:tc>
        <w:tc>
          <w:tcPr>
            <w:tcW w:w="1096" w:type="dxa"/>
            <w:vMerge w:val="continue"/>
            <w:tcBorders>
              <w:left w:val="single" w:color="auto" w:sz="4" w:space="0"/>
              <w:right w:val="single" w:color="auto" w:sz="4" w:space="0"/>
            </w:tcBorders>
            <w:noWrap w:val="0"/>
            <w:vAlign w:val="center"/>
          </w:tcPr>
          <w:p>
            <w:pPr>
              <w:widowControl/>
              <w:spacing w:line="360" w:lineRule="auto"/>
              <w:jc w:val="left"/>
              <w:rPr>
                <w:rFonts w:ascii="宋体" w:hAnsi="宋体" w:cs="宋体"/>
                <w:color w:val="000000"/>
                <w:szCs w:val="21"/>
              </w:rPr>
            </w:pPr>
          </w:p>
        </w:tc>
        <w:tc>
          <w:tcPr>
            <w:tcW w:w="6727"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ascii="宋体" w:hAnsi="宋体" w:cs="宋体"/>
                <w:color w:val="000000"/>
                <w:szCs w:val="21"/>
              </w:rPr>
            </w:pPr>
            <w:r>
              <w:rPr>
                <w:rFonts w:hint="eastAsia" w:ascii="宋体" w:hAnsi="宋体" w:cs="宋体"/>
                <w:color w:val="000000"/>
                <w:szCs w:val="21"/>
              </w:rPr>
              <w:t>4.具备在线浏览及本地下载全文功能；</w:t>
            </w:r>
          </w:p>
        </w:tc>
        <w:tc>
          <w:tcPr>
            <w:tcW w:w="1276" w:type="dxa"/>
            <w:tcBorders>
              <w:left w:val="single" w:color="auto" w:sz="4" w:space="0"/>
              <w:right w:val="double" w:color="auto" w:sz="4" w:space="0"/>
            </w:tcBorders>
            <w:noWrap w:val="0"/>
            <w:vAlign w:val="center"/>
          </w:tcPr>
          <w:p>
            <w:pPr>
              <w:widowControl/>
              <w:spacing w:line="360" w:lineRule="auto"/>
              <w:jc w:val="left"/>
              <w:rPr>
                <w:rFonts w:ascii="宋体" w:hAnsi="宋体"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374" w:hRule="atLeast"/>
          <w:jc w:val="center"/>
        </w:trPr>
        <w:tc>
          <w:tcPr>
            <w:tcW w:w="758" w:type="dxa"/>
            <w:vMerge w:val="continue"/>
            <w:tcBorders>
              <w:left w:val="double" w:color="auto" w:sz="4" w:space="0"/>
              <w:right w:val="single" w:color="auto" w:sz="4" w:space="0"/>
            </w:tcBorders>
            <w:noWrap w:val="0"/>
            <w:vAlign w:val="center"/>
          </w:tcPr>
          <w:p>
            <w:pPr>
              <w:spacing w:line="360" w:lineRule="auto"/>
              <w:jc w:val="center"/>
              <w:rPr>
                <w:rFonts w:ascii="宋体" w:hAnsi="宋体" w:cs="宋体"/>
                <w:color w:val="000000"/>
                <w:szCs w:val="21"/>
              </w:rPr>
            </w:pPr>
          </w:p>
        </w:tc>
        <w:tc>
          <w:tcPr>
            <w:tcW w:w="1096" w:type="dxa"/>
            <w:vMerge w:val="continue"/>
            <w:tcBorders>
              <w:left w:val="single" w:color="auto" w:sz="4" w:space="0"/>
              <w:right w:val="single" w:color="auto" w:sz="4" w:space="0"/>
            </w:tcBorders>
            <w:noWrap w:val="0"/>
            <w:vAlign w:val="center"/>
          </w:tcPr>
          <w:p>
            <w:pPr>
              <w:widowControl/>
              <w:spacing w:line="360" w:lineRule="auto"/>
              <w:jc w:val="left"/>
              <w:rPr>
                <w:rFonts w:ascii="宋体" w:hAnsi="宋体" w:cs="宋体"/>
                <w:color w:val="000000"/>
                <w:szCs w:val="21"/>
              </w:rPr>
            </w:pPr>
          </w:p>
        </w:tc>
        <w:tc>
          <w:tcPr>
            <w:tcW w:w="6727"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ascii="宋体" w:hAnsi="宋体" w:cs="宋体"/>
                <w:color w:val="000000"/>
                <w:szCs w:val="21"/>
              </w:rPr>
            </w:pPr>
            <w:r>
              <w:rPr>
                <w:rFonts w:hint="eastAsia" w:ascii="宋体" w:hAnsi="宋体" w:cs="宋体"/>
                <w:color w:val="000000"/>
                <w:szCs w:val="21"/>
              </w:rPr>
              <w:t>5.提供智能检索、句子检索等检索功能；且须提供句子检索截图证明；提供：主要主题词、主题词、分类、期刊年限、刊名、作者、第一作者、作者单位、题名、关键词、摘要、题名&amp;关键词&amp;摘要、参考文献、全文等多种检索项，并支持模糊和精确检索；</w:t>
            </w:r>
          </w:p>
        </w:tc>
        <w:tc>
          <w:tcPr>
            <w:tcW w:w="1276" w:type="dxa"/>
            <w:tcBorders>
              <w:left w:val="single" w:color="auto" w:sz="4" w:space="0"/>
              <w:right w:val="double" w:color="auto" w:sz="4" w:space="0"/>
            </w:tcBorders>
            <w:noWrap w:val="0"/>
            <w:vAlign w:val="center"/>
          </w:tcPr>
          <w:p>
            <w:pPr>
              <w:widowControl/>
              <w:spacing w:line="360" w:lineRule="auto"/>
              <w:jc w:val="left"/>
              <w:rPr>
                <w:rFonts w:ascii="宋体" w:hAnsi="宋体"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8" w:type="dxa"/>
            <w:vMerge w:val="continue"/>
            <w:tcBorders>
              <w:left w:val="double" w:color="auto" w:sz="4" w:space="0"/>
              <w:right w:val="single" w:color="auto" w:sz="4" w:space="0"/>
            </w:tcBorders>
            <w:noWrap w:val="0"/>
            <w:vAlign w:val="center"/>
          </w:tcPr>
          <w:p>
            <w:pPr>
              <w:spacing w:line="360" w:lineRule="auto"/>
              <w:jc w:val="center"/>
              <w:rPr>
                <w:rFonts w:ascii="宋体" w:hAnsi="宋体" w:cs="宋体"/>
                <w:color w:val="000000"/>
                <w:szCs w:val="21"/>
              </w:rPr>
            </w:pPr>
          </w:p>
        </w:tc>
        <w:tc>
          <w:tcPr>
            <w:tcW w:w="1096" w:type="dxa"/>
            <w:vMerge w:val="continue"/>
            <w:tcBorders>
              <w:left w:val="single" w:color="auto" w:sz="4" w:space="0"/>
              <w:right w:val="single" w:color="auto" w:sz="4" w:space="0"/>
            </w:tcBorders>
            <w:noWrap w:val="0"/>
            <w:vAlign w:val="center"/>
          </w:tcPr>
          <w:p>
            <w:pPr>
              <w:widowControl/>
              <w:spacing w:line="360" w:lineRule="auto"/>
              <w:jc w:val="left"/>
              <w:rPr>
                <w:rFonts w:ascii="宋体" w:hAnsi="宋体" w:cs="宋体"/>
                <w:color w:val="000000"/>
                <w:szCs w:val="21"/>
              </w:rPr>
            </w:pPr>
          </w:p>
        </w:tc>
        <w:tc>
          <w:tcPr>
            <w:tcW w:w="6727"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ascii="宋体" w:hAnsi="宋体" w:cs="宋体"/>
                <w:color w:val="000000"/>
                <w:szCs w:val="21"/>
              </w:rPr>
            </w:pPr>
            <w:r>
              <w:rPr>
                <w:rFonts w:hint="eastAsia" w:ascii="宋体" w:hAnsi="宋体" w:cs="宋体"/>
                <w:color w:val="000000"/>
                <w:szCs w:val="21"/>
              </w:rPr>
              <w:t>6.网络版平台支持检索获取医学最新“网络首发”文献，方便用户快速发现最新文献，且能提供截图证明文件；</w:t>
            </w:r>
          </w:p>
        </w:tc>
        <w:tc>
          <w:tcPr>
            <w:tcW w:w="1276" w:type="dxa"/>
            <w:tcBorders>
              <w:left w:val="single" w:color="auto" w:sz="4" w:space="0"/>
              <w:right w:val="double" w:color="auto" w:sz="4" w:space="0"/>
            </w:tcBorders>
            <w:noWrap w:val="0"/>
            <w:vAlign w:val="center"/>
          </w:tcPr>
          <w:p>
            <w:pPr>
              <w:widowControl/>
              <w:spacing w:line="360" w:lineRule="auto"/>
              <w:jc w:val="left"/>
              <w:rPr>
                <w:rFonts w:ascii="宋体" w:hAnsi="宋体"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8" w:type="dxa"/>
            <w:vMerge w:val="continue"/>
            <w:tcBorders>
              <w:left w:val="double" w:color="auto" w:sz="4" w:space="0"/>
              <w:right w:val="single" w:color="auto" w:sz="4" w:space="0"/>
            </w:tcBorders>
            <w:noWrap w:val="0"/>
            <w:vAlign w:val="center"/>
          </w:tcPr>
          <w:p>
            <w:pPr>
              <w:spacing w:line="360" w:lineRule="auto"/>
              <w:jc w:val="center"/>
              <w:rPr>
                <w:rFonts w:ascii="宋体" w:hAnsi="宋体" w:cs="宋体"/>
                <w:color w:val="000000"/>
                <w:szCs w:val="21"/>
              </w:rPr>
            </w:pPr>
          </w:p>
        </w:tc>
        <w:tc>
          <w:tcPr>
            <w:tcW w:w="1096" w:type="dxa"/>
            <w:vMerge w:val="continue"/>
            <w:tcBorders>
              <w:left w:val="single" w:color="auto" w:sz="4" w:space="0"/>
              <w:right w:val="single" w:color="auto" w:sz="4" w:space="0"/>
            </w:tcBorders>
            <w:noWrap w:val="0"/>
            <w:vAlign w:val="center"/>
          </w:tcPr>
          <w:p>
            <w:pPr>
              <w:widowControl/>
              <w:spacing w:line="360" w:lineRule="auto"/>
              <w:jc w:val="left"/>
              <w:rPr>
                <w:rFonts w:ascii="宋体" w:hAnsi="宋体" w:cs="宋体"/>
                <w:color w:val="000000"/>
                <w:szCs w:val="21"/>
              </w:rPr>
            </w:pPr>
          </w:p>
        </w:tc>
        <w:tc>
          <w:tcPr>
            <w:tcW w:w="6727"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ascii="宋体" w:hAnsi="宋体" w:cs="宋体"/>
                <w:color w:val="000000"/>
                <w:szCs w:val="21"/>
              </w:rPr>
            </w:pPr>
            <w:r>
              <w:rPr>
                <w:rFonts w:hint="eastAsia" w:ascii="宋体" w:hAnsi="宋体" w:cs="宋体"/>
                <w:color w:val="000000"/>
                <w:szCs w:val="21"/>
              </w:rPr>
              <w:t>7.网络版部分全文支持HTML阅读模式阅读全文；提供参考文献、引证文献、共引文献、同被引文献等知网节链接，实现文献深度挖掘的重要功能；</w:t>
            </w:r>
          </w:p>
        </w:tc>
        <w:tc>
          <w:tcPr>
            <w:tcW w:w="1276" w:type="dxa"/>
            <w:tcBorders>
              <w:left w:val="single" w:color="auto" w:sz="4" w:space="0"/>
              <w:right w:val="double" w:color="auto" w:sz="4" w:space="0"/>
            </w:tcBorders>
            <w:noWrap w:val="0"/>
            <w:vAlign w:val="center"/>
          </w:tcPr>
          <w:p>
            <w:pPr>
              <w:widowControl/>
              <w:spacing w:line="360" w:lineRule="auto"/>
              <w:jc w:val="left"/>
              <w:rPr>
                <w:rFonts w:ascii="宋体" w:hAnsi="宋体"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373" w:hRule="atLeast"/>
          <w:jc w:val="center"/>
        </w:trPr>
        <w:tc>
          <w:tcPr>
            <w:tcW w:w="758" w:type="dxa"/>
            <w:vMerge w:val="continue"/>
            <w:tcBorders>
              <w:left w:val="double" w:color="auto" w:sz="4" w:space="0"/>
              <w:right w:val="single" w:color="auto" w:sz="4" w:space="0"/>
            </w:tcBorders>
            <w:noWrap w:val="0"/>
            <w:vAlign w:val="center"/>
          </w:tcPr>
          <w:p>
            <w:pPr>
              <w:spacing w:line="360" w:lineRule="auto"/>
              <w:jc w:val="center"/>
              <w:rPr>
                <w:rFonts w:ascii="宋体" w:hAnsi="宋体" w:cs="宋体"/>
                <w:color w:val="000000"/>
                <w:szCs w:val="21"/>
              </w:rPr>
            </w:pPr>
          </w:p>
        </w:tc>
        <w:tc>
          <w:tcPr>
            <w:tcW w:w="1096" w:type="dxa"/>
            <w:vMerge w:val="continue"/>
            <w:tcBorders>
              <w:left w:val="single" w:color="auto" w:sz="4" w:space="0"/>
              <w:right w:val="single" w:color="auto" w:sz="4" w:space="0"/>
            </w:tcBorders>
            <w:noWrap w:val="0"/>
            <w:vAlign w:val="center"/>
          </w:tcPr>
          <w:p>
            <w:pPr>
              <w:widowControl/>
              <w:spacing w:line="360" w:lineRule="auto"/>
              <w:jc w:val="left"/>
              <w:rPr>
                <w:rFonts w:ascii="宋体" w:hAnsi="宋体" w:cs="宋体"/>
                <w:color w:val="000000"/>
                <w:szCs w:val="21"/>
              </w:rPr>
            </w:pPr>
          </w:p>
        </w:tc>
        <w:tc>
          <w:tcPr>
            <w:tcW w:w="6727"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ascii="宋体" w:hAnsi="宋体" w:cs="宋体"/>
                <w:color w:val="000000"/>
                <w:szCs w:val="21"/>
              </w:rPr>
            </w:pPr>
            <w:r>
              <w:rPr>
                <w:rFonts w:hint="eastAsia" w:ascii="宋体" w:hAnsi="宋体" w:cs="宋体"/>
                <w:color w:val="000000"/>
                <w:szCs w:val="21"/>
              </w:rPr>
              <w:t>8.检索结果提供按照不同作者、作者单位以及研究层次等3种以上分组方式，提供发表时间、下载频次、被引频次等不少于3种排序方式；</w:t>
            </w:r>
          </w:p>
          <w:p>
            <w:pPr>
              <w:widowControl/>
              <w:spacing w:line="360" w:lineRule="auto"/>
              <w:jc w:val="left"/>
              <w:rPr>
                <w:rFonts w:ascii="宋体" w:hAnsi="宋体" w:cs="宋体"/>
                <w:color w:val="000000"/>
                <w:szCs w:val="21"/>
              </w:rPr>
            </w:pPr>
            <w:r>
              <w:rPr>
                <w:rFonts w:hint="eastAsia" w:ascii="宋体" w:hAnsi="宋体" w:cs="宋体"/>
                <w:color w:val="000000"/>
                <w:szCs w:val="21"/>
              </w:rPr>
              <w:t>可实现对用户的访问和使用情况进行详细的记录，并进行统计分析。可按时间、用户、IP地址等方式进行统计分析；</w:t>
            </w:r>
          </w:p>
          <w:p>
            <w:pPr>
              <w:widowControl/>
              <w:spacing w:line="360" w:lineRule="auto"/>
              <w:jc w:val="left"/>
              <w:rPr>
                <w:rFonts w:ascii="宋体" w:hAnsi="宋体" w:cs="宋体"/>
                <w:color w:val="000000"/>
                <w:szCs w:val="21"/>
              </w:rPr>
            </w:pPr>
            <w:r>
              <w:rPr>
                <w:rFonts w:hint="eastAsia" w:ascii="宋体" w:hAnsi="宋体" w:cs="宋体"/>
                <w:color w:val="000000"/>
                <w:szCs w:val="21"/>
              </w:rPr>
              <w:t>导航体系：提供分类导航、知识导航与期刊导航；</w:t>
            </w:r>
          </w:p>
        </w:tc>
        <w:tc>
          <w:tcPr>
            <w:tcW w:w="1276" w:type="dxa"/>
            <w:tcBorders>
              <w:left w:val="single" w:color="auto" w:sz="4" w:space="0"/>
              <w:right w:val="double" w:color="auto" w:sz="4" w:space="0"/>
            </w:tcBorders>
            <w:noWrap w:val="0"/>
            <w:vAlign w:val="center"/>
          </w:tcPr>
          <w:p>
            <w:pPr>
              <w:widowControl/>
              <w:spacing w:line="360" w:lineRule="auto"/>
              <w:jc w:val="left"/>
              <w:rPr>
                <w:rFonts w:ascii="宋体" w:hAnsi="宋体"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8" w:type="dxa"/>
            <w:vMerge w:val="continue"/>
            <w:tcBorders>
              <w:left w:val="double" w:color="auto" w:sz="4" w:space="0"/>
              <w:right w:val="single" w:color="auto" w:sz="4" w:space="0"/>
            </w:tcBorders>
            <w:noWrap w:val="0"/>
            <w:vAlign w:val="center"/>
          </w:tcPr>
          <w:p>
            <w:pPr>
              <w:spacing w:line="360" w:lineRule="auto"/>
              <w:jc w:val="center"/>
              <w:rPr>
                <w:rFonts w:ascii="宋体" w:hAnsi="宋体" w:cs="宋体"/>
                <w:color w:val="000000"/>
                <w:szCs w:val="21"/>
              </w:rPr>
            </w:pPr>
          </w:p>
        </w:tc>
        <w:tc>
          <w:tcPr>
            <w:tcW w:w="1096" w:type="dxa"/>
            <w:vMerge w:val="continue"/>
            <w:tcBorders>
              <w:left w:val="single" w:color="auto" w:sz="4" w:space="0"/>
              <w:right w:val="single" w:color="auto" w:sz="4" w:space="0"/>
            </w:tcBorders>
            <w:noWrap w:val="0"/>
            <w:vAlign w:val="center"/>
          </w:tcPr>
          <w:p>
            <w:pPr>
              <w:widowControl/>
              <w:spacing w:line="360" w:lineRule="auto"/>
              <w:jc w:val="left"/>
              <w:rPr>
                <w:rFonts w:ascii="宋体" w:hAnsi="宋体" w:cs="宋体"/>
                <w:color w:val="000000"/>
                <w:szCs w:val="21"/>
              </w:rPr>
            </w:pPr>
          </w:p>
        </w:tc>
        <w:tc>
          <w:tcPr>
            <w:tcW w:w="6727"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rPr>
                <w:rFonts w:ascii="宋体" w:hAnsi="宋体" w:cs="宋体"/>
                <w:color w:val="000000"/>
                <w:szCs w:val="21"/>
              </w:rPr>
            </w:pPr>
            <w:r>
              <w:rPr>
                <w:rFonts w:hint="eastAsia" w:ascii="宋体" w:hAnsi="宋体" w:cs="宋体"/>
                <w:color w:val="000000"/>
                <w:szCs w:val="21"/>
              </w:rPr>
              <w:t>9.具有自主知识产权的阅读器，支持打开PDF文档，且实现文字复制粘贴功能，支持划词链接功能；且能提供截图证明文件；</w:t>
            </w:r>
          </w:p>
        </w:tc>
        <w:tc>
          <w:tcPr>
            <w:tcW w:w="1276" w:type="dxa"/>
            <w:tcBorders>
              <w:left w:val="single" w:color="auto" w:sz="4" w:space="0"/>
              <w:right w:val="double" w:color="auto" w:sz="4" w:space="0"/>
            </w:tcBorders>
            <w:noWrap w:val="0"/>
            <w:vAlign w:val="center"/>
          </w:tcPr>
          <w:p>
            <w:pPr>
              <w:widowControl/>
              <w:spacing w:line="360" w:lineRule="auto"/>
              <w:jc w:val="left"/>
              <w:rPr>
                <w:rFonts w:ascii="宋体" w:hAnsi="宋体"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928" w:hRule="atLeast"/>
          <w:jc w:val="center"/>
        </w:trPr>
        <w:tc>
          <w:tcPr>
            <w:tcW w:w="758" w:type="dxa"/>
            <w:vMerge w:val="continue"/>
            <w:tcBorders>
              <w:left w:val="double" w:color="auto" w:sz="4" w:space="0"/>
              <w:right w:val="single" w:color="auto" w:sz="4" w:space="0"/>
            </w:tcBorders>
            <w:noWrap w:val="0"/>
            <w:vAlign w:val="center"/>
          </w:tcPr>
          <w:p>
            <w:pPr>
              <w:spacing w:line="360" w:lineRule="auto"/>
              <w:jc w:val="center"/>
              <w:rPr>
                <w:rFonts w:ascii="宋体" w:hAnsi="宋体" w:cs="宋体"/>
                <w:color w:val="000000"/>
                <w:szCs w:val="21"/>
              </w:rPr>
            </w:pPr>
          </w:p>
        </w:tc>
        <w:tc>
          <w:tcPr>
            <w:tcW w:w="1096" w:type="dxa"/>
            <w:vMerge w:val="continue"/>
            <w:tcBorders>
              <w:left w:val="single" w:color="auto" w:sz="4" w:space="0"/>
              <w:bottom w:val="single" w:color="auto" w:sz="4" w:space="0"/>
              <w:right w:val="single" w:color="auto" w:sz="4" w:space="0"/>
            </w:tcBorders>
            <w:noWrap w:val="0"/>
            <w:vAlign w:val="center"/>
          </w:tcPr>
          <w:p>
            <w:pPr>
              <w:widowControl/>
              <w:spacing w:line="360" w:lineRule="auto"/>
              <w:jc w:val="left"/>
              <w:rPr>
                <w:rFonts w:ascii="宋体" w:hAnsi="宋体" w:cs="宋体"/>
                <w:color w:val="000000"/>
                <w:szCs w:val="21"/>
              </w:rPr>
            </w:pPr>
          </w:p>
        </w:tc>
        <w:tc>
          <w:tcPr>
            <w:tcW w:w="6727"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ascii="宋体" w:hAnsi="宋体"/>
                <w:szCs w:val="21"/>
              </w:rPr>
            </w:pPr>
            <w:r>
              <w:rPr>
                <w:rFonts w:hint="eastAsia" w:ascii="宋体" w:hAnsi="宋体"/>
                <w:szCs w:val="21"/>
              </w:rPr>
              <w:t>10.具有医学专业主题智能分类系统，每年更新，与国际接轨，能提供如“协同共疫作用、屏幕时间、医疗保健相关性肺炎、阿法替尼、网络欺凌、交通污染”主题词检索；</w:t>
            </w:r>
          </w:p>
        </w:tc>
        <w:tc>
          <w:tcPr>
            <w:tcW w:w="1276" w:type="dxa"/>
            <w:tcBorders>
              <w:left w:val="single" w:color="auto" w:sz="4" w:space="0"/>
              <w:right w:val="double" w:color="auto" w:sz="4" w:space="0"/>
            </w:tcBorders>
            <w:noWrap w:val="0"/>
            <w:vAlign w:val="center"/>
          </w:tcPr>
          <w:p>
            <w:pPr>
              <w:widowControl/>
              <w:spacing w:line="360" w:lineRule="auto"/>
              <w:jc w:val="left"/>
              <w:rPr>
                <w:rFonts w:ascii="宋体" w:hAnsi="宋体"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758" w:type="dxa"/>
            <w:vMerge w:val="continue"/>
            <w:tcBorders>
              <w:left w:val="double" w:color="auto" w:sz="4" w:space="0"/>
              <w:bottom w:val="single" w:color="auto" w:sz="4" w:space="0"/>
              <w:right w:val="single" w:color="auto" w:sz="4" w:space="0"/>
            </w:tcBorders>
            <w:noWrap w:val="0"/>
            <w:vAlign w:val="center"/>
          </w:tcPr>
          <w:p>
            <w:pPr>
              <w:widowControl/>
              <w:spacing w:line="360" w:lineRule="auto"/>
              <w:jc w:val="center"/>
              <w:rPr>
                <w:rFonts w:ascii="宋体" w:hAnsi="宋体" w:cs="宋体"/>
                <w:color w:val="000000"/>
                <w:szCs w:val="21"/>
              </w:rPr>
            </w:pPr>
          </w:p>
        </w:tc>
        <w:tc>
          <w:tcPr>
            <w:tcW w:w="1096" w:type="dxa"/>
            <w:vMerge w:val="continue"/>
            <w:tcBorders>
              <w:left w:val="single" w:color="auto" w:sz="4" w:space="0"/>
              <w:bottom w:val="single" w:color="auto" w:sz="4" w:space="0"/>
              <w:right w:val="single" w:color="auto" w:sz="4" w:space="0"/>
            </w:tcBorders>
            <w:noWrap w:val="0"/>
            <w:vAlign w:val="center"/>
          </w:tcPr>
          <w:p>
            <w:pPr>
              <w:widowControl/>
              <w:spacing w:line="360" w:lineRule="auto"/>
              <w:jc w:val="left"/>
              <w:rPr>
                <w:rFonts w:ascii="宋体" w:hAnsi="宋体" w:cs="宋体"/>
                <w:color w:val="000000"/>
                <w:szCs w:val="21"/>
              </w:rPr>
            </w:pPr>
          </w:p>
        </w:tc>
        <w:tc>
          <w:tcPr>
            <w:tcW w:w="6727" w:type="dxa"/>
            <w:tcBorders>
              <w:top w:val="single" w:color="auto" w:sz="4" w:space="0"/>
              <w:left w:val="single" w:color="auto" w:sz="4" w:space="0"/>
              <w:bottom w:val="single" w:color="auto" w:sz="4" w:space="0"/>
              <w:right w:val="single" w:color="auto" w:sz="4" w:space="0"/>
            </w:tcBorders>
            <w:noWrap w:val="0"/>
            <w:vAlign w:val="center"/>
          </w:tcPr>
          <w:p>
            <w:pPr>
              <w:pStyle w:val="3"/>
              <w:spacing w:line="360" w:lineRule="auto"/>
              <w:rPr>
                <w:rFonts w:ascii="宋体" w:hAnsi="宋体"/>
                <w:b w:val="0"/>
                <w:sz w:val="21"/>
                <w:szCs w:val="21"/>
                <w:lang w:val="en-US" w:eastAsia="zh-CN"/>
              </w:rPr>
            </w:pPr>
            <w:r>
              <w:rPr>
                <w:rFonts w:hint="eastAsia" w:ascii="宋体" w:hAnsi="宋体"/>
                <w:b w:val="0"/>
                <w:kern w:val="2"/>
                <w:sz w:val="21"/>
                <w:szCs w:val="21"/>
                <w:lang w:val="en-US" w:eastAsia="zh-CN"/>
              </w:rPr>
              <w:t>11.提供所有数据库和期刊网络版服务内容，提供检索、浏览、下载等服务。</w:t>
            </w:r>
          </w:p>
        </w:tc>
        <w:tc>
          <w:tcPr>
            <w:tcW w:w="1276" w:type="dxa"/>
            <w:tcBorders>
              <w:left w:val="single" w:color="auto" w:sz="4" w:space="0"/>
              <w:bottom w:val="single" w:color="auto" w:sz="4" w:space="0"/>
              <w:right w:val="double" w:color="auto" w:sz="4" w:space="0"/>
            </w:tcBorders>
            <w:noWrap w:val="0"/>
            <w:vAlign w:val="center"/>
          </w:tcPr>
          <w:p>
            <w:pPr>
              <w:widowControl/>
              <w:spacing w:line="360" w:lineRule="auto"/>
              <w:jc w:val="left"/>
              <w:rPr>
                <w:rFonts w:ascii="宋体" w:hAnsi="宋体"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290" w:hRule="atLeast"/>
          <w:jc w:val="center"/>
        </w:trPr>
        <w:tc>
          <w:tcPr>
            <w:tcW w:w="758" w:type="dxa"/>
            <w:vMerge w:val="restart"/>
            <w:tcBorders>
              <w:top w:val="single" w:color="auto" w:sz="4" w:space="0"/>
              <w:left w:val="double" w:color="auto" w:sz="4" w:space="0"/>
              <w:right w:val="single" w:color="auto" w:sz="4" w:space="0"/>
            </w:tcBorders>
            <w:noWrap w:val="0"/>
            <w:vAlign w:val="center"/>
          </w:tcPr>
          <w:p>
            <w:pPr>
              <w:spacing w:line="360" w:lineRule="auto"/>
              <w:jc w:val="center"/>
              <w:rPr>
                <w:rFonts w:ascii="宋体" w:hAnsi="宋体" w:cs="宋体"/>
                <w:color w:val="000000"/>
                <w:szCs w:val="21"/>
              </w:rPr>
            </w:pPr>
            <w:r>
              <w:rPr>
                <w:rFonts w:hint="eastAsia" w:ascii="宋体" w:hAnsi="宋体" w:cs="宋体"/>
                <w:color w:val="000000"/>
                <w:szCs w:val="21"/>
              </w:rPr>
              <w:t>8</w:t>
            </w:r>
          </w:p>
        </w:tc>
        <w:tc>
          <w:tcPr>
            <w:tcW w:w="1096" w:type="dxa"/>
            <w:vMerge w:val="restart"/>
            <w:tcBorders>
              <w:top w:val="single" w:color="auto" w:sz="4" w:space="0"/>
              <w:left w:val="single" w:color="auto" w:sz="4" w:space="0"/>
              <w:right w:val="single" w:color="auto" w:sz="4" w:space="0"/>
            </w:tcBorders>
            <w:noWrap w:val="0"/>
            <w:vAlign w:val="center"/>
          </w:tcPr>
          <w:p>
            <w:pPr>
              <w:widowControl/>
              <w:spacing w:line="360" w:lineRule="auto"/>
              <w:jc w:val="left"/>
              <w:rPr>
                <w:rFonts w:ascii="宋体" w:hAnsi="宋体"/>
                <w:szCs w:val="21"/>
              </w:rPr>
            </w:pPr>
            <w:r>
              <w:rPr>
                <w:rFonts w:hint="eastAsia" w:ascii="宋体" w:hAnsi="宋体" w:cs="宋体"/>
                <w:color w:val="000000"/>
                <w:szCs w:val="21"/>
                <w:lang w:val="en-US" w:eastAsia="zh-CN"/>
              </w:rPr>
              <w:t>中华</w:t>
            </w:r>
            <w:r>
              <w:rPr>
                <w:rFonts w:hint="eastAsia" w:ascii="宋体" w:hAnsi="宋体" w:cs="宋体"/>
                <w:color w:val="000000"/>
                <w:szCs w:val="21"/>
              </w:rPr>
              <w:t>医学</w:t>
            </w:r>
            <w:r>
              <w:rPr>
                <w:rFonts w:hint="eastAsia" w:ascii="宋体" w:hAnsi="宋体" w:cs="宋体"/>
                <w:color w:val="000000"/>
                <w:szCs w:val="21"/>
                <w:lang w:val="en-US" w:eastAsia="zh-CN"/>
              </w:rPr>
              <w:t>知识</w:t>
            </w:r>
            <w:r>
              <w:rPr>
                <w:rFonts w:hint="eastAsia" w:ascii="宋体" w:hAnsi="宋体" w:cs="宋体"/>
                <w:color w:val="000000"/>
                <w:szCs w:val="21"/>
              </w:rPr>
              <w:t>库</w:t>
            </w:r>
          </w:p>
        </w:tc>
        <w:tc>
          <w:tcPr>
            <w:tcW w:w="6727" w:type="dxa"/>
            <w:tcBorders>
              <w:top w:val="single" w:color="auto" w:sz="4" w:space="0"/>
              <w:left w:val="single" w:color="auto" w:sz="4" w:space="0"/>
              <w:right w:val="single" w:color="auto" w:sz="4" w:space="0"/>
            </w:tcBorders>
            <w:noWrap w:val="0"/>
            <w:vAlign w:val="center"/>
          </w:tcPr>
          <w:p>
            <w:pPr>
              <w:widowControl/>
              <w:spacing w:line="360" w:lineRule="auto"/>
              <w:jc w:val="left"/>
              <w:rPr>
                <w:rFonts w:ascii="宋体" w:hAnsi="宋体"/>
                <w:szCs w:val="21"/>
              </w:rPr>
            </w:pPr>
            <w:r>
              <w:rPr>
                <w:rFonts w:hint="eastAsia" w:ascii="宋体" w:hAnsi="宋体" w:eastAsia="宋体" w:cs="宋体"/>
                <w:sz w:val="21"/>
                <w:szCs w:val="21"/>
              </w:rPr>
              <w:t>中华医学会出品，内容:国内外最新权威精选指南库、视频库、科研与写作库、名师讲堂、全科 教育库和医学人文库。数量:精选指南库超2000条、视频超3000部、科研与写作库共计400余部、 名师讲堂不少于300部、全科教育约50部、医学人文库超800条。</w:t>
            </w:r>
          </w:p>
        </w:tc>
        <w:tc>
          <w:tcPr>
            <w:tcW w:w="1276" w:type="dxa"/>
            <w:tcBorders>
              <w:top w:val="single" w:color="auto" w:sz="4" w:space="0"/>
              <w:left w:val="single" w:color="auto" w:sz="4" w:space="0"/>
              <w:bottom w:val="single" w:color="auto" w:sz="4" w:space="0"/>
              <w:right w:val="double" w:color="auto" w:sz="4" w:space="0"/>
            </w:tcBorders>
            <w:noWrap w:val="0"/>
            <w:vAlign w:val="center"/>
          </w:tcPr>
          <w:p>
            <w:pPr>
              <w:widowControl/>
              <w:spacing w:line="360" w:lineRule="auto"/>
              <w:jc w:val="left"/>
              <w:rPr>
                <w:rFonts w:ascii="宋体" w:hAnsi="宋体"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180" w:hRule="atLeast"/>
          <w:jc w:val="center"/>
        </w:trPr>
        <w:tc>
          <w:tcPr>
            <w:tcW w:w="758" w:type="dxa"/>
            <w:vMerge w:val="restart"/>
            <w:tcBorders>
              <w:top w:val="single" w:color="auto" w:sz="4" w:space="0"/>
              <w:left w:val="double" w:color="auto" w:sz="4" w:space="0"/>
              <w:right w:val="single" w:color="auto" w:sz="4" w:space="0"/>
            </w:tcBorders>
            <w:noWrap w:val="0"/>
            <w:vAlign w:val="center"/>
          </w:tcPr>
          <w:p>
            <w:pPr>
              <w:spacing w:line="360" w:lineRule="auto"/>
              <w:jc w:val="center"/>
              <w:rPr>
                <w:rFonts w:ascii="宋体" w:hAnsi="宋体" w:cs="宋体"/>
                <w:color w:val="000000"/>
                <w:szCs w:val="21"/>
              </w:rPr>
            </w:pPr>
            <w:r>
              <w:rPr>
                <w:rFonts w:hint="eastAsia" w:ascii="宋体" w:hAnsi="宋体" w:cs="宋体"/>
                <w:color w:val="000000"/>
                <w:szCs w:val="21"/>
              </w:rPr>
              <w:t>9</w:t>
            </w:r>
          </w:p>
        </w:tc>
        <w:tc>
          <w:tcPr>
            <w:tcW w:w="1096" w:type="dxa"/>
            <w:vMerge w:val="restart"/>
            <w:tcBorders>
              <w:top w:val="single" w:color="auto" w:sz="4" w:space="0"/>
              <w:left w:val="single" w:color="auto" w:sz="4" w:space="0"/>
              <w:right w:val="single" w:color="auto" w:sz="4" w:space="0"/>
            </w:tcBorders>
            <w:noWrap w:val="0"/>
            <w:vAlign w:val="center"/>
          </w:tcPr>
          <w:p>
            <w:pPr>
              <w:widowControl/>
              <w:spacing w:line="360" w:lineRule="auto"/>
              <w:jc w:val="left"/>
              <w:rPr>
                <w:rFonts w:ascii="宋体" w:hAnsi="宋体" w:cs="宋体"/>
                <w:color w:val="000000"/>
                <w:szCs w:val="21"/>
              </w:rPr>
            </w:pPr>
            <w:r>
              <w:rPr>
                <w:rFonts w:hint="eastAsia" w:ascii="宋体" w:hAnsi="宋体" w:cs="宋体"/>
                <w:color w:val="000000"/>
                <w:szCs w:val="21"/>
              </w:rPr>
              <w:t>医学会议论文</w:t>
            </w:r>
          </w:p>
        </w:tc>
        <w:tc>
          <w:tcPr>
            <w:tcW w:w="6727" w:type="dxa"/>
            <w:tcBorders>
              <w:top w:val="single" w:color="auto" w:sz="4" w:space="0"/>
              <w:left w:val="single" w:color="auto" w:sz="4" w:space="0"/>
              <w:right w:val="single" w:color="auto" w:sz="4" w:space="0"/>
            </w:tcBorders>
            <w:noWrap w:val="0"/>
            <w:vAlign w:val="center"/>
          </w:tcPr>
          <w:p>
            <w:pPr>
              <w:widowControl/>
              <w:spacing w:line="360" w:lineRule="auto"/>
              <w:jc w:val="left"/>
              <w:rPr>
                <w:rFonts w:ascii="宋体" w:hAnsi="宋体"/>
                <w:szCs w:val="21"/>
              </w:rPr>
            </w:pPr>
            <w:r>
              <w:rPr>
                <w:rFonts w:hint="eastAsia" w:ascii="宋体" w:hAnsi="宋体"/>
                <w:szCs w:val="21"/>
              </w:rPr>
              <w:t>1、要求以收录国家一级学术会议论文集为主，应包括但不限于学会论文集“中华医学会”、“中国医师协会”、“中华预防医学会”、“中华护理学会”、“中国药学会”、“中国中西医结合学会”、“中华中医药学会”、“中国中医药学会”等。</w:t>
            </w:r>
          </w:p>
        </w:tc>
        <w:tc>
          <w:tcPr>
            <w:tcW w:w="1276" w:type="dxa"/>
            <w:tcBorders>
              <w:top w:val="single" w:color="auto" w:sz="4" w:space="0"/>
              <w:left w:val="single" w:color="auto" w:sz="4" w:space="0"/>
              <w:right w:val="double" w:color="auto" w:sz="4" w:space="0"/>
            </w:tcBorders>
            <w:noWrap w:val="0"/>
            <w:vAlign w:val="center"/>
          </w:tcPr>
          <w:p>
            <w:pPr>
              <w:widowControl/>
              <w:spacing w:line="360" w:lineRule="auto"/>
              <w:jc w:val="left"/>
              <w:rPr>
                <w:rFonts w:ascii="宋体" w:hAnsi="宋体"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758" w:type="dxa"/>
            <w:vMerge w:val="continue"/>
            <w:tcBorders>
              <w:left w:val="double" w:color="auto" w:sz="4" w:space="0"/>
              <w:right w:val="single" w:color="auto" w:sz="4" w:space="0"/>
            </w:tcBorders>
            <w:noWrap w:val="0"/>
            <w:vAlign w:val="center"/>
          </w:tcPr>
          <w:p>
            <w:pPr>
              <w:spacing w:line="360" w:lineRule="auto"/>
              <w:jc w:val="center"/>
              <w:rPr>
                <w:rFonts w:ascii="宋体" w:hAnsi="宋体" w:cs="宋体"/>
                <w:color w:val="000000"/>
                <w:szCs w:val="21"/>
              </w:rPr>
            </w:pPr>
          </w:p>
        </w:tc>
        <w:tc>
          <w:tcPr>
            <w:tcW w:w="1096" w:type="dxa"/>
            <w:vMerge w:val="continue"/>
            <w:tcBorders>
              <w:left w:val="single" w:color="auto" w:sz="4" w:space="0"/>
              <w:right w:val="single" w:color="auto" w:sz="4" w:space="0"/>
            </w:tcBorders>
            <w:noWrap w:val="0"/>
            <w:vAlign w:val="center"/>
          </w:tcPr>
          <w:p>
            <w:pPr>
              <w:widowControl/>
              <w:spacing w:line="360" w:lineRule="auto"/>
              <w:jc w:val="left"/>
              <w:rPr>
                <w:rFonts w:ascii="宋体" w:hAnsi="宋体" w:cs="宋体"/>
                <w:color w:val="000000"/>
                <w:szCs w:val="21"/>
              </w:rPr>
            </w:pPr>
          </w:p>
        </w:tc>
        <w:tc>
          <w:tcPr>
            <w:tcW w:w="6727" w:type="dxa"/>
            <w:tcBorders>
              <w:top w:val="single" w:color="auto" w:sz="4" w:space="0"/>
              <w:left w:val="single" w:color="auto" w:sz="4" w:space="0"/>
              <w:bottom w:val="single" w:color="auto" w:sz="4" w:space="0"/>
              <w:right w:val="single" w:color="auto" w:sz="4" w:space="0"/>
            </w:tcBorders>
            <w:noWrap w:val="0"/>
            <w:vAlign w:val="center"/>
          </w:tcPr>
          <w:p>
            <w:pPr>
              <w:pStyle w:val="3"/>
              <w:spacing w:line="360" w:lineRule="auto"/>
              <w:rPr>
                <w:rFonts w:ascii="宋体" w:hAnsi="宋体" w:cs="宋体"/>
                <w:b w:val="0"/>
                <w:color w:val="000000"/>
                <w:sz w:val="21"/>
                <w:szCs w:val="21"/>
                <w:lang w:val="zh-CN" w:eastAsia="zh-CN"/>
              </w:rPr>
            </w:pPr>
            <w:r>
              <w:rPr>
                <w:rFonts w:hint="eastAsia" w:ascii="宋体" w:hAnsi="宋体"/>
                <w:b w:val="0"/>
                <w:kern w:val="2"/>
                <w:sz w:val="21"/>
                <w:szCs w:val="21"/>
                <w:lang w:val="en-US" w:eastAsia="zh-CN"/>
              </w:rPr>
              <w:t>2、会议论文全文数据不低于90万篇，时间年限2000-2025年。</w:t>
            </w:r>
          </w:p>
        </w:tc>
        <w:tc>
          <w:tcPr>
            <w:tcW w:w="1276" w:type="dxa"/>
            <w:tcBorders>
              <w:left w:val="single" w:color="auto" w:sz="4" w:space="0"/>
              <w:right w:val="double" w:color="auto" w:sz="4" w:space="0"/>
            </w:tcBorders>
            <w:noWrap w:val="0"/>
            <w:vAlign w:val="center"/>
          </w:tcPr>
          <w:p>
            <w:pPr>
              <w:widowControl/>
              <w:spacing w:line="360" w:lineRule="auto"/>
              <w:jc w:val="left"/>
              <w:rPr>
                <w:rFonts w:ascii="宋体" w:hAnsi="宋体"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56" w:hRule="atLeast"/>
          <w:jc w:val="center"/>
        </w:trPr>
        <w:tc>
          <w:tcPr>
            <w:tcW w:w="758" w:type="dxa"/>
            <w:vMerge w:val="continue"/>
            <w:tcBorders>
              <w:left w:val="double" w:color="auto" w:sz="4" w:space="0"/>
              <w:right w:val="single" w:color="auto" w:sz="4" w:space="0"/>
            </w:tcBorders>
            <w:noWrap w:val="0"/>
            <w:vAlign w:val="center"/>
          </w:tcPr>
          <w:p>
            <w:pPr>
              <w:widowControl/>
              <w:spacing w:line="360" w:lineRule="auto"/>
              <w:jc w:val="center"/>
              <w:rPr>
                <w:rFonts w:ascii="宋体" w:hAnsi="宋体" w:cs="宋体"/>
                <w:color w:val="000000"/>
                <w:szCs w:val="21"/>
              </w:rPr>
            </w:pPr>
          </w:p>
        </w:tc>
        <w:tc>
          <w:tcPr>
            <w:tcW w:w="1096" w:type="dxa"/>
            <w:vMerge w:val="continue"/>
            <w:tcBorders>
              <w:left w:val="single" w:color="auto" w:sz="4" w:space="0"/>
              <w:right w:val="single" w:color="auto" w:sz="4" w:space="0"/>
            </w:tcBorders>
            <w:noWrap w:val="0"/>
            <w:vAlign w:val="center"/>
          </w:tcPr>
          <w:p>
            <w:pPr>
              <w:widowControl/>
              <w:spacing w:line="360" w:lineRule="auto"/>
              <w:jc w:val="left"/>
              <w:rPr>
                <w:rFonts w:ascii="宋体" w:hAnsi="宋体" w:cs="宋体"/>
                <w:color w:val="000000"/>
                <w:szCs w:val="21"/>
              </w:rPr>
            </w:pPr>
          </w:p>
        </w:tc>
        <w:tc>
          <w:tcPr>
            <w:tcW w:w="6727" w:type="dxa"/>
            <w:tcBorders>
              <w:top w:val="single" w:color="auto" w:sz="4" w:space="0"/>
              <w:left w:val="single" w:color="auto" w:sz="4" w:space="0"/>
              <w:right w:val="single" w:color="auto" w:sz="4" w:space="0"/>
            </w:tcBorders>
            <w:noWrap w:val="0"/>
            <w:vAlign w:val="center"/>
          </w:tcPr>
          <w:p>
            <w:pPr>
              <w:pStyle w:val="3"/>
              <w:spacing w:line="360" w:lineRule="auto"/>
              <w:rPr>
                <w:rFonts w:ascii="宋体" w:hAnsi="宋体" w:cs="宋体"/>
                <w:b w:val="0"/>
                <w:color w:val="000000"/>
                <w:sz w:val="21"/>
                <w:szCs w:val="21"/>
                <w:lang w:val="zh-CN" w:eastAsia="zh-CN"/>
              </w:rPr>
            </w:pPr>
            <w:r>
              <w:rPr>
                <w:rFonts w:hint="eastAsia" w:ascii="宋体" w:hAnsi="宋体"/>
                <w:b w:val="0"/>
                <w:kern w:val="2"/>
                <w:sz w:val="21"/>
                <w:szCs w:val="21"/>
                <w:lang w:val="en-US" w:eastAsia="zh-CN"/>
              </w:rPr>
              <w:t>3、会议论文全文数据可以实时下载。</w:t>
            </w:r>
          </w:p>
        </w:tc>
        <w:tc>
          <w:tcPr>
            <w:tcW w:w="1276" w:type="dxa"/>
            <w:tcBorders>
              <w:left w:val="single" w:color="auto" w:sz="4" w:space="0"/>
              <w:bottom w:val="single" w:color="auto" w:sz="4" w:space="0"/>
              <w:right w:val="double" w:color="auto" w:sz="4" w:space="0"/>
            </w:tcBorders>
            <w:noWrap w:val="0"/>
            <w:vAlign w:val="center"/>
          </w:tcPr>
          <w:p>
            <w:pPr>
              <w:widowControl/>
              <w:spacing w:line="360" w:lineRule="auto"/>
              <w:jc w:val="left"/>
              <w:rPr>
                <w:rFonts w:ascii="宋体" w:hAnsi="宋体"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758" w:type="dxa"/>
            <w:vMerge w:val="restart"/>
            <w:tcBorders>
              <w:top w:val="single" w:color="auto" w:sz="4" w:space="0"/>
              <w:left w:val="double" w:color="auto" w:sz="4" w:space="0"/>
              <w:right w:val="single" w:color="auto" w:sz="4" w:space="0"/>
            </w:tcBorders>
            <w:noWrap w:val="0"/>
            <w:vAlign w:val="center"/>
          </w:tcPr>
          <w:p>
            <w:pPr>
              <w:spacing w:line="360" w:lineRule="auto"/>
              <w:jc w:val="center"/>
              <w:rPr>
                <w:rFonts w:ascii="宋体" w:hAnsi="宋体" w:cs="宋体"/>
                <w:color w:val="000000"/>
                <w:szCs w:val="21"/>
              </w:rPr>
            </w:pPr>
            <w:r>
              <w:rPr>
                <w:rFonts w:hint="eastAsia" w:ascii="宋体" w:hAnsi="宋体" w:cs="宋体"/>
                <w:color w:val="000000"/>
                <w:szCs w:val="21"/>
              </w:rPr>
              <w:t>10</w:t>
            </w:r>
          </w:p>
        </w:tc>
        <w:tc>
          <w:tcPr>
            <w:tcW w:w="1096" w:type="dxa"/>
            <w:vMerge w:val="restart"/>
            <w:tcBorders>
              <w:top w:val="single" w:color="auto" w:sz="4" w:space="0"/>
              <w:left w:val="single" w:color="auto" w:sz="4" w:space="0"/>
              <w:right w:val="single" w:color="auto" w:sz="4" w:space="0"/>
            </w:tcBorders>
            <w:noWrap w:val="0"/>
            <w:vAlign w:val="center"/>
          </w:tcPr>
          <w:p>
            <w:pPr>
              <w:widowControl/>
              <w:spacing w:line="360" w:lineRule="auto"/>
              <w:jc w:val="left"/>
              <w:rPr>
                <w:rFonts w:ascii="宋体" w:hAnsi="宋体" w:cs="宋体"/>
                <w:color w:val="000000"/>
                <w:szCs w:val="21"/>
              </w:rPr>
            </w:pPr>
            <w:r>
              <w:rPr>
                <w:rFonts w:hint="eastAsia" w:ascii="宋体" w:hAnsi="宋体" w:cs="宋体"/>
                <w:color w:val="000000"/>
                <w:szCs w:val="21"/>
              </w:rPr>
              <w:t>文库</w:t>
            </w:r>
          </w:p>
        </w:tc>
        <w:tc>
          <w:tcPr>
            <w:tcW w:w="6727" w:type="dxa"/>
            <w:tcBorders>
              <w:top w:val="single" w:color="auto" w:sz="4" w:space="0"/>
              <w:left w:val="single" w:color="auto" w:sz="4" w:space="0"/>
              <w:bottom w:val="single" w:color="auto" w:sz="4" w:space="0"/>
              <w:right w:val="single" w:color="auto" w:sz="4" w:space="0"/>
            </w:tcBorders>
            <w:noWrap w:val="0"/>
            <w:vAlign w:val="center"/>
          </w:tcPr>
          <w:p>
            <w:pPr>
              <w:pStyle w:val="3"/>
              <w:spacing w:line="360" w:lineRule="auto"/>
              <w:rPr>
                <w:rFonts w:ascii="宋体" w:hAnsi="宋体"/>
                <w:b w:val="0"/>
                <w:sz w:val="21"/>
                <w:szCs w:val="21"/>
                <w:lang w:val="en-US" w:eastAsia="zh-CN"/>
              </w:rPr>
            </w:pPr>
            <w:r>
              <w:rPr>
                <w:rFonts w:hint="eastAsia" w:ascii="宋体" w:hAnsi="宋体"/>
                <w:b w:val="0"/>
                <w:kern w:val="2"/>
                <w:sz w:val="21"/>
                <w:szCs w:val="21"/>
                <w:lang w:val="en-US" w:eastAsia="zh-CN"/>
              </w:rPr>
              <w:t>1</w:t>
            </w:r>
            <w:r>
              <w:rPr>
                <w:rFonts w:hint="eastAsia" w:ascii="宋体" w:hAnsi="宋体" w:cs="宋体"/>
                <w:b w:val="0"/>
                <w:color w:val="000000"/>
                <w:sz w:val="21"/>
                <w:szCs w:val="21"/>
                <w:lang w:val="en-US" w:eastAsia="zh-CN"/>
              </w:rPr>
              <w:t>、</w:t>
            </w:r>
            <w:r>
              <w:rPr>
                <w:rFonts w:hint="eastAsia" w:ascii="宋体" w:hAnsi="宋体"/>
                <w:b w:val="0"/>
                <w:kern w:val="2"/>
                <w:sz w:val="21"/>
                <w:szCs w:val="21"/>
                <w:lang w:val="en-US" w:eastAsia="zh-CN"/>
              </w:rPr>
              <w:t>文库需汇集整理超过6亿份高价值文档资料，拥有不少于40万认证作者和2万家专业权威机构。</w:t>
            </w:r>
          </w:p>
        </w:tc>
        <w:tc>
          <w:tcPr>
            <w:tcW w:w="1276" w:type="dxa"/>
            <w:tcBorders>
              <w:top w:val="single" w:color="auto" w:sz="4" w:space="0"/>
              <w:left w:val="single" w:color="auto" w:sz="4" w:space="0"/>
              <w:right w:val="double" w:color="auto" w:sz="4" w:space="0"/>
            </w:tcBorders>
            <w:noWrap w:val="0"/>
            <w:vAlign w:val="center"/>
          </w:tcPr>
          <w:p>
            <w:pPr>
              <w:widowControl/>
              <w:spacing w:line="360" w:lineRule="auto"/>
              <w:jc w:val="left"/>
              <w:rPr>
                <w:rFonts w:ascii="宋体" w:hAnsi="宋体"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61" w:hRule="atLeast"/>
          <w:jc w:val="center"/>
        </w:trPr>
        <w:tc>
          <w:tcPr>
            <w:tcW w:w="758" w:type="dxa"/>
            <w:vMerge w:val="continue"/>
            <w:tcBorders>
              <w:left w:val="double" w:color="auto" w:sz="4" w:space="0"/>
              <w:bottom w:val="single" w:color="auto" w:sz="4" w:space="0"/>
              <w:right w:val="single" w:color="auto" w:sz="4" w:space="0"/>
            </w:tcBorders>
            <w:noWrap w:val="0"/>
            <w:vAlign w:val="center"/>
          </w:tcPr>
          <w:p>
            <w:pPr>
              <w:widowControl/>
              <w:spacing w:line="360" w:lineRule="auto"/>
              <w:jc w:val="center"/>
              <w:rPr>
                <w:rFonts w:ascii="宋体" w:hAnsi="宋体" w:cs="宋体"/>
                <w:color w:val="000000"/>
                <w:szCs w:val="21"/>
              </w:rPr>
            </w:pPr>
          </w:p>
        </w:tc>
        <w:tc>
          <w:tcPr>
            <w:tcW w:w="1096" w:type="dxa"/>
            <w:vMerge w:val="continue"/>
            <w:tcBorders>
              <w:left w:val="single" w:color="auto" w:sz="4" w:space="0"/>
              <w:right w:val="single" w:color="auto" w:sz="4" w:space="0"/>
            </w:tcBorders>
            <w:noWrap w:val="0"/>
            <w:vAlign w:val="center"/>
          </w:tcPr>
          <w:p>
            <w:pPr>
              <w:widowControl/>
              <w:spacing w:line="360" w:lineRule="auto"/>
              <w:jc w:val="left"/>
              <w:rPr>
                <w:rFonts w:ascii="宋体" w:hAnsi="宋体" w:cs="宋体"/>
                <w:color w:val="000000"/>
                <w:szCs w:val="21"/>
              </w:rPr>
            </w:pPr>
          </w:p>
        </w:tc>
        <w:tc>
          <w:tcPr>
            <w:tcW w:w="6727" w:type="dxa"/>
            <w:tcBorders>
              <w:top w:val="single" w:color="auto" w:sz="4" w:space="0"/>
              <w:left w:val="single" w:color="auto" w:sz="4" w:space="0"/>
              <w:bottom w:val="single" w:color="auto" w:sz="4" w:space="0"/>
              <w:right w:val="single" w:color="auto" w:sz="4" w:space="0"/>
            </w:tcBorders>
            <w:noWrap w:val="0"/>
            <w:vAlign w:val="center"/>
          </w:tcPr>
          <w:p>
            <w:pPr>
              <w:pStyle w:val="3"/>
              <w:spacing w:line="360" w:lineRule="auto"/>
              <w:rPr>
                <w:rFonts w:ascii="宋体" w:hAnsi="宋体" w:cs="宋体"/>
                <w:b w:val="0"/>
                <w:bCs w:val="0"/>
                <w:color w:val="000000"/>
                <w:sz w:val="21"/>
                <w:szCs w:val="21"/>
                <w:lang w:val="zh-CN" w:eastAsia="zh-CN"/>
              </w:rPr>
            </w:pPr>
            <w:r>
              <w:rPr>
                <w:rFonts w:hint="eastAsia" w:ascii="宋体" w:hAnsi="宋体"/>
                <w:b w:val="0"/>
                <w:kern w:val="2"/>
                <w:sz w:val="21"/>
                <w:szCs w:val="21"/>
                <w:lang w:val="en-US" w:eastAsia="zh-CN"/>
              </w:rPr>
              <w:t>2.文库可通过个人注册并绑定机构实现无论何时何地均可下载全文。</w:t>
            </w:r>
          </w:p>
        </w:tc>
        <w:tc>
          <w:tcPr>
            <w:tcW w:w="1276" w:type="dxa"/>
            <w:tcBorders>
              <w:left w:val="single" w:color="auto" w:sz="4" w:space="0"/>
              <w:bottom w:val="single" w:color="auto" w:sz="4" w:space="0"/>
              <w:right w:val="double" w:color="auto" w:sz="4" w:space="0"/>
            </w:tcBorders>
            <w:noWrap w:val="0"/>
            <w:vAlign w:val="center"/>
          </w:tcPr>
          <w:p>
            <w:pPr>
              <w:widowControl/>
              <w:spacing w:line="360" w:lineRule="auto"/>
              <w:jc w:val="left"/>
              <w:rPr>
                <w:rFonts w:ascii="宋体" w:hAnsi="宋体"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58" w:type="dxa"/>
            <w:tcBorders>
              <w:top w:val="single" w:color="auto" w:sz="4" w:space="0"/>
              <w:left w:val="double" w:color="auto" w:sz="4" w:space="0"/>
              <w:bottom w:val="single" w:color="auto" w:sz="4" w:space="0"/>
              <w:right w:val="single" w:color="auto" w:sz="4" w:space="0"/>
            </w:tcBorders>
            <w:noWrap w:val="0"/>
            <w:vAlign w:val="center"/>
          </w:tcPr>
          <w:p>
            <w:pPr>
              <w:widowControl/>
              <w:spacing w:line="360" w:lineRule="auto"/>
              <w:jc w:val="center"/>
              <w:rPr>
                <w:rFonts w:ascii="宋体" w:hAnsi="宋体" w:cs="宋体"/>
                <w:color w:val="000000"/>
                <w:szCs w:val="21"/>
              </w:rPr>
            </w:pPr>
            <w:r>
              <w:rPr>
                <w:rFonts w:hint="eastAsia" w:ascii="宋体" w:hAnsi="宋体" w:cs="宋体"/>
                <w:color w:val="000000"/>
                <w:szCs w:val="21"/>
              </w:rPr>
              <w:t>11</w:t>
            </w:r>
          </w:p>
        </w:tc>
        <w:tc>
          <w:tcPr>
            <w:tcW w:w="1096"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ascii="宋体" w:hAnsi="宋体" w:cs="宋体"/>
                <w:color w:val="000000"/>
                <w:szCs w:val="21"/>
              </w:rPr>
            </w:pPr>
            <w:r>
              <w:rPr>
                <w:rFonts w:hint="eastAsia" w:ascii="宋体" w:hAnsi="宋体" w:cs="宋体"/>
                <w:color w:val="000000"/>
                <w:szCs w:val="21"/>
              </w:rPr>
              <w:t>内外网网关服务器系统配置</w:t>
            </w:r>
          </w:p>
        </w:tc>
        <w:tc>
          <w:tcPr>
            <w:tcW w:w="6727"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ascii="宋体" w:hAnsi="宋体" w:cs="宋体"/>
                <w:color w:val="000000"/>
                <w:szCs w:val="21"/>
              </w:rPr>
            </w:pPr>
            <w:r>
              <w:rPr>
                <w:rFonts w:hint="eastAsia" w:ascii="宋体" w:hAnsi="宋体" w:cs="宋体"/>
                <w:color w:val="000000"/>
                <w:szCs w:val="21"/>
              </w:rPr>
              <w:t>医院提供服务器，供应商或者厂家提供内外网网关服务器系统配置。通过网关服务器进行配置之后，医护人员可实现通过院内院外网均可以访问使用我院所购买的所有数字文献信息资源。</w:t>
            </w:r>
          </w:p>
        </w:tc>
        <w:tc>
          <w:tcPr>
            <w:tcW w:w="1276" w:type="dxa"/>
            <w:tcBorders>
              <w:top w:val="single" w:color="auto" w:sz="4" w:space="0"/>
              <w:left w:val="single" w:color="auto" w:sz="4" w:space="0"/>
              <w:bottom w:val="single" w:color="auto" w:sz="4" w:space="0"/>
              <w:right w:val="double" w:color="auto" w:sz="4" w:space="0"/>
            </w:tcBorders>
            <w:noWrap w:val="0"/>
            <w:vAlign w:val="center"/>
          </w:tcPr>
          <w:p>
            <w:pPr>
              <w:widowControl/>
              <w:spacing w:line="360" w:lineRule="auto"/>
              <w:jc w:val="left"/>
              <w:rPr>
                <w:rFonts w:ascii="宋体" w:hAnsi="宋体"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58" w:type="dxa"/>
            <w:tcBorders>
              <w:top w:val="single" w:color="auto" w:sz="4" w:space="0"/>
              <w:left w:val="doub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eastAsia="宋体" w:cs="宋体"/>
                <w:color w:val="000000"/>
                <w:szCs w:val="21"/>
                <w:lang w:eastAsia="zh-CN"/>
              </w:rPr>
            </w:pPr>
            <w:r>
              <w:rPr>
                <w:rFonts w:hint="eastAsia" w:ascii="宋体" w:hAnsi="宋体" w:cs="宋体"/>
                <w:color w:val="000000"/>
                <w:szCs w:val="21"/>
              </w:rPr>
              <w:t>1</w:t>
            </w:r>
            <w:r>
              <w:rPr>
                <w:rFonts w:hint="eastAsia" w:ascii="宋体" w:hAnsi="宋体" w:cs="宋体"/>
                <w:color w:val="000000"/>
                <w:szCs w:val="21"/>
                <w:lang w:val="en-US" w:eastAsia="zh-CN"/>
              </w:rPr>
              <w:t>2</w:t>
            </w:r>
          </w:p>
        </w:tc>
        <w:tc>
          <w:tcPr>
            <w:tcW w:w="1096"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ascii="宋体" w:hAnsi="宋体" w:cs="宋体"/>
                <w:color w:val="000000"/>
                <w:szCs w:val="21"/>
              </w:rPr>
            </w:pPr>
            <w:r>
              <w:rPr>
                <w:rFonts w:hint="eastAsia" w:ascii="宋体" w:hAnsi="宋体" w:cs="宋体"/>
                <w:color w:val="000000"/>
                <w:szCs w:val="21"/>
              </w:rPr>
              <w:t>查重服务</w:t>
            </w:r>
          </w:p>
        </w:tc>
        <w:tc>
          <w:tcPr>
            <w:tcW w:w="6727"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ascii="宋体" w:hAnsi="宋体" w:cs="宋体"/>
                <w:color w:val="000000"/>
                <w:szCs w:val="21"/>
              </w:rPr>
            </w:pPr>
            <w:r>
              <w:rPr>
                <w:rFonts w:hint="eastAsia" w:ascii="宋体" w:hAnsi="宋体" w:cs="宋体"/>
                <w:color w:val="000000"/>
                <w:szCs w:val="21"/>
              </w:rPr>
              <w:t>合同期内提供论文查重500篇</w:t>
            </w:r>
          </w:p>
        </w:tc>
        <w:tc>
          <w:tcPr>
            <w:tcW w:w="1276" w:type="dxa"/>
            <w:tcBorders>
              <w:top w:val="single" w:color="auto" w:sz="4" w:space="0"/>
              <w:left w:val="single" w:color="auto" w:sz="4" w:space="0"/>
              <w:bottom w:val="single" w:color="auto" w:sz="4" w:space="0"/>
              <w:right w:val="double" w:color="auto" w:sz="4" w:space="0"/>
            </w:tcBorders>
            <w:noWrap w:val="0"/>
            <w:vAlign w:val="center"/>
          </w:tcPr>
          <w:p>
            <w:pPr>
              <w:widowControl/>
              <w:spacing w:line="360" w:lineRule="auto"/>
              <w:jc w:val="left"/>
              <w:rPr>
                <w:rFonts w:ascii="宋体" w:hAnsi="宋体"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58" w:type="dxa"/>
            <w:tcBorders>
              <w:top w:val="single" w:color="auto" w:sz="4" w:space="0"/>
              <w:left w:val="double" w:color="auto" w:sz="4" w:space="0"/>
              <w:bottom w:val="single" w:color="auto" w:sz="4" w:space="0"/>
              <w:right w:val="single" w:color="auto" w:sz="4" w:space="0"/>
            </w:tcBorders>
            <w:noWrap w:val="0"/>
            <w:vAlign w:val="center"/>
          </w:tcPr>
          <w:p>
            <w:pPr>
              <w:widowControl/>
              <w:spacing w:line="360" w:lineRule="auto"/>
              <w:jc w:val="center"/>
              <w:rPr>
                <w:rFonts w:hint="default" w:ascii="宋体" w:hAnsi="宋体" w:cs="宋体" w:eastAsiaTheme="minorEastAsia"/>
                <w:color w:val="000000"/>
                <w:szCs w:val="21"/>
                <w:lang w:val="en-US" w:eastAsia="zh-CN"/>
              </w:rPr>
            </w:pPr>
            <w:r>
              <w:rPr>
                <w:rFonts w:hint="eastAsia" w:ascii="宋体" w:hAnsi="宋体" w:cs="宋体"/>
                <w:color w:val="000000"/>
                <w:szCs w:val="21"/>
                <w:lang w:val="en-US" w:eastAsia="zh-CN"/>
              </w:rPr>
              <w:t>13</w:t>
            </w:r>
          </w:p>
        </w:tc>
        <w:tc>
          <w:tcPr>
            <w:tcW w:w="1096"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hint="eastAsia" w:ascii="宋体" w:hAnsi="宋体" w:cs="宋体" w:eastAsiaTheme="minorEastAsia"/>
                <w:color w:val="000000"/>
                <w:szCs w:val="21"/>
                <w:lang w:val="en-US" w:eastAsia="zh-CN"/>
              </w:rPr>
            </w:pPr>
            <w:r>
              <w:rPr>
                <w:rFonts w:hint="eastAsia" w:ascii="宋体" w:hAnsi="宋体" w:cs="宋体"/>
                <w:color w:val="000000"/>
                <w:szCs w:val="21"/>
                <w:lang w:val="en-US" w:eastAsia="zh-CN"/>
              </w:rPr>
              <w:t>其他</w:t>
            </w:r>
          </w:p>
        </w:tc>
        <w:tc>
          <w:tcPr>
            <w:tcW w:w="6727"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hint="default" w:ascii="宋体" w:hAnsi="宋体" w:cs="宋体" w:eastAsiaTheme="minorEastAsia"/>
                <w:color w:val="000000"/>
                <w:szCs w:val="21"/>
                <w:lang w:val="en-US" w:eastAsia="zh-CN"/>
              </w:rPr>
            </w:pPr>
            <w:r>
              <w:rPr>
                <w:rFonts w:hint="eastAsia" w:ascii="宋体" w:hAnsi="宋体" w:cs="宋体"/>
                <w:color w:val="000000"/>
                <w:szCs w:val="21"/>
                <w:lang w:val="en-US" w:eastAsia="zh-CN"/>
              </w:rPr>
              <w:t>供应商可以根据自身优势填写</w:t>
            </w:r>
          </w:p>
        </w:tc>
        <w:tc>
          <w:tcPr>
            <w:tcW w:w="1276" w:type="dxa"/>
            <w:tcBorders>
              <w:top w:val="single" w:color="auto" w:sz="4" w:space="0"/>
              <w:left w:val="single" w:color="auto" w:sz="4" w:space="0"/>
              <w:bottom w:val="single" w:color="auto" w:sz="4" w:space="0"/>
              <w:right w:val="double" w:color="auto" w:sz="4" w:space="0"/>
            </w:tcBorders>
            <w:noWrap w:val="0"/>
            <w:vAlign w:val="center"/>
          </w:tcPr>
          <w:p>
            <w:pPr>
              <w:widowControl/>
              <w:spacing w:line="360" w:lineRule="auto"/>
              <w:jc w:val="left"/>
              <w:rPr>
                <w:rFonts w:ascii="宋体" w:hAnsi="宋体" w:cs="宋体"/>
                <w:color w:val="000000"/>
                <w:szCs w:val="21"/>
              </w:rPr>
            </w:pPr>
          </w:p>
        </w:tc>
      </w:tr>
    </w:tbl>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auto"/>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9"/>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E1MWQ0NjBmODcxN2NjNTEzOWRkMWU5ZDZjNDc1ZDQifQ=="/>
  </w:docVars>
  <w:rsids>
    <w:rsidRoot w:val="538052AB"/>
    <w:rsid w:val="02223910"/>
    <w:rsid w:val="068C6D6B"/>
    <w:rsid w:val="185E7379"/>
    <w:rsid w:val="538052AB"/>
    <w:rsid w:val="5B5F1001"/>
    <w:rsid w:val="698606AC"/>
    <w:rsid w:val="71467D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4"/>
      <w:szCs w:val="24"/>
      <w:lang w:val="en-US" w:eastAsia="zh-CN" w:bidi="ar-SA"/>
    </w:rPr>
  </w:style>
  <w:style w:type="character" w:default="1" w:styleId="8">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3">
    <w:name w:val="Body Text 3"/>
    <w:basedOn w:val="1"/>
    <w:qFormat/>
    <w:uiPriority w:val="0"/>
    <w:pPr>
      <w:widowControl/>
      <w:spacing w:line="500" w:lineRule="exact"/>
      <w:jc w:val="left"/>
    </w:pPr>
    <w:rPr>
      <w:b/>
      <w:bCs/>
      <w:kern w:val="0"/>
      <w:sz w:val="24"/>
    </w:rPr>
  </w:style>
  <w:style w:type="paragraph" w:styleId="4">
    <w:name w:val="Body Text Indent"/>
    <w:basedOn w:val="1"/>
    <w:qFormat/>
    <w:uiPriority w:val="0"/>
    <w:pPr>
      <w:ind w:firstLine="555"/>
    </w:pPr>
    <w:rPr>
      <w:lang w:val="zh-CN"/>
    </w:rPr>
  </w:style>
  <w:style w:type="paragraph" w:styleId="5">
    <w:name w:val="Title"/>
    <w:basedOn w:val="1"/>
    <w:next w:val="1"/>
    <w:qFormat/>
    <w:uiPriority w:val="10"/>
    <w:pPr>
      <w:spacing w:before="60" w:after="60"/>
      <w:jc w:val="left"/>
      <w:outlineLvl w:val="2"/>
    </w:pPr>
    <w:rPr>
      <w:rFonts w:asciiTheme="majorHAnsi" w:hAnsiTheme="majorHAnsi" w:eastAsiaTheme="majorEastAsia" w:cstheme="majorBidi"/>
      <w:b/>
      <w:bCs/>
      <w:sz w:val="28"/>
      <w:szCs w:val="32"/>
    </w:rPr>
  </w:style>
  <w:style w:type="paragraph" w:styleId="6">
    <w:name w:val="Body Text First Indent 2"/>
    <w:basedOn w:val="4"/>
    <w:unhideWhenUsed/>
    <w:qFormat/>
    <w:uiPriority w:val="99"/>
    <w:pPr>
      <w:ind w:firstLine="420" w:firstLineChars="200"/>
    </w:pPr>
  </w:style>
  <w:style w:type="paragraph" w:styleId="9">
    <w:name w:val="List Paragraph"/>
    <w:basedOn w:val="1"/>
    <w:qFormat/>
    <w:uiPriority w:val="34"/>
    <w:pPr>
      <w:widowControl/>
      <w:spacing w:after="160" w:line="259" w:lineRule="auto"/>
      <w:ind w:firstLine="420" w:firstLineChars="200"/>
      <w:jc w:val="left"/>
    </w:pPr>
    <w:rPr>
      <w:rFonts w:ascii="Calibri" w:hAnsi="Calibri"/>
      <w:kern w:val="0"/>
      <w:sz w:val="22"/>
      <w:szCs w:val="2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2383</Words>
  <Characters>2586</Characters>
  <Lines>0</Lines>
  <Paragraphs>0</Paragraphs>
  <TotalTime>2</TotalTime>
  <ScaleCrop>false</ScaleCrop>
  <LinksUpToDate>false</LinksUpToDate>
  <CharactersWithSpaces>2596</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2024-03-01T03:21:00Z</dcterms:created>
  <dc:creator>明眸°　Sun</dc:creator>
  <cp:lastModifiedBy>随波逐流</cp:lastModifiedBy>
  <dcterms:modified xsi:type="dcterms:W3CDTF">2024-06-13T01:27:39Z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A8718CB82E8A4F8CB4A88344EE2DDABE_13</vt:lpwstr>
  </property>
</Properties>
</file>