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成都市第五人民医院</w:t>
      </w:r>
    </w:p>
    <w:p>
      <w:pPr>
        <w:adjustRightInd w:val="0"/>
        <w:snapToGrid w:val="0"/>
        <w:spacing w:before="156" w:beforeLines="50" w:after="156" w:afterLines="50" w:line="579" w:lineRule="exact"/>
        <w:ind w:firstLine="360" w:firstLineChars="10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前列腺癌专病数据平台建设项目</w:t>
      </w:r>
    </w:p>
    <w:p>
      <w:pPr>
        <w:adjustRightInd w:val="0"/>
        <w:snapToGrid w:val="0"/>
        <w:spacing w:before="156" w:beforeLines="50" w:after="156" w:afterLines="50" w:line="579" w:lineRule="exact"/>
        <w:ind w:firstLine="360" w:firstLineChars="100"/>
        <w:jc w:val="center"/>
        <w:rPr>
          <w:rFonts w:ascii="黑体" w:hAnsi="黑体" w:eastAsia="黑体" w:cs="仿宋_GB2312"/>
          <w:sz w:val="36"/>
          <w:szCs w:val="36"/>
        </w:rPr>
      </w:pPr>
      <w:r>
        <w:rPr>
          <w:rFonts w:hint="eastAsia" w:ascii="方正小标宋简体" w:hAnsi="方正小标宋简体" w:eastAsia="方正小标宋简体" w:cs="方正小标宋简体"/>
          <w:sz w:val="36"/>
          <w:szCs w:val="36"/>
        </w:rPr>
        <w:t>市场调研参数</w:t>
      </w:r>
    </w:p>
    <w:p>
      <w:pPr>
        <w:numPr>
          <w:ilvl w:val="0"/>
          <w:numId w:val="1"/>
        </w:numPr>
        <w:adjustRightInd w:val="0"/>
        <w:snapToGrid w:val="0"/>
        <w:spacing w:before="156" w:beforeLines="50" w:after="156" w:afterLines="50" w:line="579" w:lineRule="exact"/>
        <w:rPr>
          <w:rFonts w:hint="eastAsia" w:ascii="楷体_GB2312" w:hAnsi="黑体" w:eastAsia="楷体_GB2312" w:cs="仿宋_GB2312"/>
          <w:sz w:val="32"/>
          <w:szCs w:val="32"/>
        </w:rPr>
      </w:pPr>
      <w:r>
        <w:rPr>
          <w:rFonts w:hint="eastAsia" w:ascii="楷体_GB2312" w:hAnsi="黑体" w:eastAsia="楷体_GB2312" w:cs="仿宋_GB2312"/>
          <w:sz w:val="32"/>
          <w:szCs w:val="32"/>
        </w:rPr>
        <w:t>专科专病数据平台概况</w:t>
      </w:r>
    </w:p>
    <w:p>
      <w:pPr>
        <w:spacing w:line="572"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前列腺癌是男性泌尿生殖系统中最常见的恶性肿瘤，按世界卫生组织（WHO）2018年GLOBOCAN统计，在世界范围内，其</w:t>
      </w:r>
      <w:r>
        <w:rPr>
          <w:rFonts w:hint="eastAsia" w:ascii="仿宋_GB2312" w:hAnsi="仿宋_GB2312" w:eastAsia="仿宋_GB2312" w:cs="仿宋_GB2312"/>
          <w:b/>
          <w:bCs/>
          <w:sz w:val="30"/>
          <w:szCs w:val="30"/>
        </w:rPr>
        <w:t>发病率在男性所有恶性肿瘤中位居第2位，仅次于肺癌。</w:t>
      </w:r>
      <w:r>
        <w:rPr>
          <w:rFonts w:hint="eastAsia" w:ascii="仿宋_GB2312" w:hAnsi="仿宋_GB2312" w:eastAsia="仿宋_GB2312" w:cs="仿宋_GB2312"/>
          <w:sz w:val="30"/>
          <w:szCs w:val="30"/>
        </w:rPr>
        <w:t>前列腺癌的发病率具有显著的地域和种族差异，美国、北欧和西欧、澳大利亚和新西兰等国家是高发地区，发病率最高可达86.4/10万，而亚洲和北非等地区相对低发，发病率最低为5/10万。</w:t>
      </w:r>
      <w:r>
        <w:rPr>
          <w:rFonts w:hint="eastAsia" w:ascii="仿宋_GB2312" w:hAnsi="仿宋_GB2312" w:eastAsia="仿宋_GB2312" w:cs="仿宋_GB2312"/>
          <w:b/>
          <w:bCs/>
          <w:sz w:val="30"/>
          <w:szCs w:val="30"/>
        </w:rPr>
        <w:t>亚洲前列腺癌的发病率和死亡率远低于欧美国家，但近年来呈现明显上升趋势，其增长比欧美发达国家更为迅速。</w:t>
      </w:r>
      <w:r>
        <w:rPr>
          <w:rFonts w:hint="eastAsia" w:ascii="仿宋_GB2312" w:hAnsi="仿宋_GB2312" w:eastAsia="仿宋_GB2312" w:cs="仿宋_GB2312"/>
          <w:sz w:val="30"/>
          <w:szCs w:val="30"/>
        </w:rPr>
        <w:t>中国是前列腺癌发病率及死亡率较低的国家之一，2015年全国发病率为10.23/10万，死亡率为4.36/10万以;但近年来其发病率呈现持续快速增长趋势。</w:t>
      </w:r>
    </w:p>
    <w:p>
      <w:pPr>
        <w:spacing w:line="572"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前列腺癌发病率与年龄密切相关。即随着年龄的增长，50岁以上其发病率呈指数增加，70岁以上前列腺癌发病率已超过膀胱肿瘤位居男性泌尿生殖系肿瘤第1位。此外，我国前列腺癌的发病呈现显著的地域差别，港、台地区为前列腺癌最高发区域，长三角和珠三角地区其次，而广大的农村地区前列腺癌发病率较低，具有明显的城乡差异性，大城市发病率较高。总体来讲，随着我国人均寿命的延长，</w:t>
      </w:r>
      <w:r>
        <w:rPr>
          <w:rFonts w:hint="eastAsia" w:ascii="仿宋_GB2312" w:hAnsi="仿宋_GB2312" w:eastAsia="仿宋_GB2312" w:cs="仿宋_GB2312"/>
          <w:b/>
          <w:bCs/>
          <w:sz w:val="30"/>
          <w:szCs w:val="30"/>
        </w:rPr>
        <w:t>前列腺癌发病率将逐渐增长</w:t>
      </w:r>
      <w:r>
        <w:rPr>
          <w:rFonts w:hint="eastAsia" w:ascii="仿宋_GB2312" w:hAnsi="仿宋_GB2312" w:eastAsia="仿宋_GB2312" w:cs="仿宋_GB2312"/>
          <w:sz w:val="30"/>
          <w:szCs w:val="30"/>
        </w:rPr>
        <w:t>。</w:t>
      </w:r>
    </w:p>
    <w:p>
      <w:pPr>
        <w:spacing w:line="572" w:lineRule="exact"/>
        <w:ind w:firstLine="600" w:firstLineChars="200"/>
        <w:rPr>
          <w:rFonts w:hint="eastAsia" w:ascii="仿宋_GB2312" w:hAnsi="仿宋_GB2312" w:eastAsia="仿宋_GB2312" w:cs="仿宋_GB2312"/>
          <w:sz w:val="30"/>
          <w:szCs w:val="30"/>
        </w:rPr>
      </w:pP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1</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建设思路。</w:t>
      </w:r>
      <w:r>
        <w:rPr>
          <w:rFonts w:hint="eastAsia" w:ascii="仿宋_GB2312" w:hAnsi="仿宋_GB2312" w:eastAsia="仿宋_GB2312" w:cs="仿宋_GB2312"/>
          <w:sz w:val="30"/>
          <w:szCs w:val="30"/>
        </w:rPr>
        <w:t>基于院内门诊、急诊、住院、院外随访信息及科研项目的数据直报、成都市健康医疗大数据平台等进行数据集成，构建数据层面的基础建设，形成以患者为维度的全生命周期临床治疗、科研信息的数据集合，可围绕不同科研项目进行探索分析服务。同时，临床科研数据中的非结构化数据通过基于人工智能技术的后结构化处理以及以知识图谱为核心的文本数据归一化，形成标准化、结构化的专病数据库，为之后的数据应用提供基础服务。在根据各业务源数据参考的国际、国家标准进行临床专病数据库表结构设计，最终形成围绕专科、专病的患者全生命周期、多维度、标准化专科专病数据平台。</w:t>
      </w:r>
    </w:p>
    <w:p>
      <w:pPr>
        <w:overflowPunct w:val="0"/>
        <w:adjustRightInd w:val="0"/>
        <w:snapToGrid w:val="0"/>
        <w:spacing w:line="579" w:lineRule="exact"/>
        <w:ind w:firstLine="640"/>
        <w:rPr>
          <w:rFonts w:ascii="仿宋_GB2312" w:hAnsi="仿宋_GB2312" w:eastAsia="仿宋_GB2312" w:cs="仿宋_GB2312"/>
          <w:sz w:val="30"/>
          <w:szCs w:val="30"/>
        </w:rPr>
      </w:pPr>
      <w:r>
        <w:rPr>
          <w:rFonts w:hint="eastAsia" w:ascii="仿宋_GB2312" w:hAnsi="仿宋_GB2312" w:eastAsia="仿宋_GB2312" w:cs="仿宋_GB2312"/>
          <w:b/>
          <w:sz w:val="30"/>
          <w:szCs w:val="30"/>
        </w:rPr>
        <w:t>2</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建设依据。</w:t>
      </w:r>
      <w:r>
        <w:rPr>
          <w:rFonts w:hint="eastAsia" w:ascii="仿宋_GB2312" w:hAnsi="仿宋_GB2312" w:eastAsia="仿宋_GB2312" w:cs="仿宋_GB2312"/>
          <w:sz w:val="30"/>
          <w:szCs w:val="30"/>
        </w:rPr>
        <w:t>本项目建设需参考</w:t>
      </w:r>
      <w:r>
        <w:rPr>
          <w:rFonts w:ascii="仿宋_GB2312" w:hAnsi="仿宋_GB2312" w:eastAsia="仿宋_GB2312" w:cs="仿宋_GB2312"/>
          <w:sz w:val="30"/>
          <w:szCs w:val="30"/>
        </w:rPr>
        <w:t>医学</w:t>
      </w:r>
      <w:r>
        <w:rPr>
          <w:rFonts w:hint="eastAsia" w:ascii="仿宋_GB2312" w:hAnsi="仿宋_GB2312" w:eastAsia="仿宋_GB2312" w:cs="仿宋_GB2312"/>
          <w:sz w:val="30"/>
          <w:szCs w:val="30"/>
        </w:rPr>
        <w:t>术语规范和信息化建设数据标准。包括但不限于：信息化建设数据标准包括</w:t>
      </w:r>
      <w:r>
        <w:rPr>
          <w:rFonts w:ascii="仿宋_GB2312" w:hAnsi="仿宋_GB2312" w:eastAsia="仿宋_GB2312" w:cs="仿宋_GB2312"/>
          <w:sz w:val="30"/>
          <w:szCs w:val="30"/>
        </w:rPr>
        <w:t>HL7</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CDISC</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《基于电子病历的医院信息平台建设技术解决方案（1.0）》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《电子病历系统功能应用水平分级评价方法及标准》</w:t>
      </w:r>
      <w:r>
        <w:rPr>
          <w:rFonts w:hint="eastAsia" w:ascii="仿宋_GB2312" w:hAnsi="仿宋_GB2312" w:eastAsia="仿宋_GB2312" w:cs="仿宋_GB2312"/>
          <w:sz w:val="30"/>
          <w:szCs w:val="30"/>
        </w:rPr>
        <w:t>等。医学术语包括对疾病标准化、药品标准化、检验标准化、检查标准化，分别对应参考国际</w:t>
      </w:r>
      <w:r>
        <w:rPr>
          <w:rFonts w:ascii="仿宋_GB2312" w:hAnsi="仿宋_GB2312" w:eastAsia="仿宋_GB2312" w:cs="仿宋_GB2312"/>
          <w:sz w:val="30"/>
          <w:szCs w:val="30"/>
        </w:rPr>
        <w:t>ICD</w:t>
      </w:r>
      <w:r>
        <w:rPr>
          <w:rFonts w:hint="eastAsia" w:ascii="仿宋_GB2312" w:hAnsi="仿宋_GB2312" w:eastAsia="仿宋_GB2312" w:cs="仿宋_GB2312"/>
          <w:sz w:val="30"/>
          <w:szCs w:val="30"/>
        </w:rPr>
        <w:t>编码（</w:t>
      </w:r>
      <w:r>
        <w:rPr>
          <w:rFonts w:ascii="仿宋_GB2312" w:hAnsi="仿宋_GB2312" w:eastAsia="仿宋_GB2312" w:cs="仿宋_GB2312"/>
          <w:sz w:val="30"/>
          <w:szCs w:val="30"/>
        </w:rPr>
        <w:t>ICD 10</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9</w:t>
      </w:r>
      <w:r>
        <w:rPr>
          <w:rFonts w:hint="eastAsia" w:ascii="仿宋_GB2312" w:hAnsi="仿宋_GB2312" w:eastAsia="仿宋_GB2312" w:cs="仿宋_GB2312"/>
          <w:sz w:val="30"/>
          <w:szCs w:val="30"/>
        </w:rPr>
        <w:t>、</w:t>
      </w:r>
      <w:r>
        <w:rPr>
          <w:rFonts w:ascii="仿宋_GB2312" w:hAnsi="仿宋_GB2312" w:eastAsia="仿宋_GB2312" w:cs="仿宋_GB2312"/>
          <w:sz w:val="30"/>
          <w:szCs w:val="30"/>
        </w:rPr>
        <w:t>ICD 11</w:t>
      </w:r>
      <w:r>
        <w:rPr>
          <w:rFonts w:hint="eastAsia" w:ascii="仿宋_GB2312" w:hAnsi="仿宋_GB2312" w:eastAsia="仿宋_GB2312" w:cs="仿宋_GB2312"/>
          <w:sz w:val="30"/>
          <w:szCs w:val="30"/>
        </w:rPr>
        <w:t>）、药品</w:t>
      </w:r>
      <w:r>
        <w:rPr>
          <w:rFonts w:ascii="仿宋_GB2312" w:hAnsi="仿宋_GB2312" w:eastAsia="仿宋_GB2312" w:cs="仿宋_GB2312"/>
          <w:sz w:val="30"/>
          <w:szCs w:val="30"/>
        </w:rPr>
        <w:t>ATC</w:t>
      </w:r>
      <w:r>
        <w:rPr>
          <w:rFonts w:hint="eastAsia" w:ascii="仿宋_GB2312" w:hAnsi="仿宋_GB2312" w:eastAsia="仿宋_GB2312" w:cs="仿宋_GB2312"/>
          <w:sz w:val="30"/>
          <w:szCs w:val="30"/>
        </w:rPr>
        <w:t>代码、检验</w:t>
      </w:r>
      <w:r>
        <w:rPr>
          <w:rFonts w:ascii="仿宋_GB2312" w:hAnsi="仿宋_GB2312" w:eastAsia="仿宋_GB2312" w:cs="仿宋_GB2312"/>
          <w:sz w:val="30"/>
          <w:szCs w:val="30"/>
        </w:rPr>
        <w:t>LONIC</w:t>
      </w:r>
      <w:r>
        <w:rPr>
          <w:rFonts w:hint="eastAsia" w:ascii="仿宋_GB2312" w:hAnsi="仿宋_GB2312" w:eastAsia="仿宋_GB2312" w:cs="仿宋_GB2312"/>
          <w:sz w:val="30"/>
          <w:szCs w:val="30"/>
        </w:rPr>
        <w:t>代码、检查</w:t>
      </w:r>
      <w:r>
        <w:rPr>
          <w:rFonts w:ascii="仿宋_GB2312" w:hAnsi="仿宋_GB2312" w:eastAsia="仿宋_GB2312" w:cs="仿宋_GB2312"/>
          <w:sz w:val="30"/>
          <w:szCs w:val="30"/>
        </w:rPr>
        <w:t>DICOM</w:t>
      </w:r>
      <w:r>
        <w:rPr>
          <w:rFonts w:hint="eastAsia" w:ascii="仿宋_GB2312" w:hAnsi="仿宋_GB2312" w:eastAsia="仿宋_GB2312" w:cs="仿宋_GB2312"/>
          <w:sz w:val="30"/>
          <w:szCs w:val="30"/>
        </w:rPr>
        <w:t>编码等。</w:t>
      </w:r>
    </w:p>
    <w:p>
      <w:pPr>
        <w:adjustRightInd w:val="0"/>
        <w:snapToGrid w:val="0"/>
        <w:spacing w:line="579" w:lineRule="exact"/>
        <w:ind w:firstLine="602" w:firstLineChars="200"/>
        <w:rPr>
          <w:rFonts w:hint="eastAsia" w:ascii="仿宋_GB2312" w:hAnsi="仿宋_GB2312" w:eastAsia="仿宋_GB2312" w:cs="仿宋_GB2312"/>
          <w:sz w:val="30"/>
          <w:szCs w:val="30"/>
        </w:rPr>
      </w:pPr>
      <w:r>
        <w:rPr>
          <w:rFonts w:hint="eastAsia" w:ascii="仿宋_GB2312" w:hAnsi="仿宋_GB2312" w:eastAsia="仿宋_GB2312" w:cs="仿宋_GB2312"/>
          <w:b/>
          <w:sz w:val="30"/>
          <w:szCs w:val="30"/>
        </w:rPr>
        <w:t>3</w:t>
      </w:r>
      <w:r>
        <w:rPr>
          <w:rFonts w:ascii="仿宋_GB2312" w:hAnsi="仿宋_GB2312" w:eastAsia="仿宋_GB2312" w:cs="仿宋_GB2312"/>
          <w:b/>
          <w:sz w:val="30"/>
          <w:szCs w:val="30"/>
        </w:rPr>
        <w:t>.</w:t>
      </w:r>
      <w:r>
        <w:rPr>
          <w:rFonts w:hint="eastAsia" w:ascii="仿宋_GB2312" w:hAnsi="仿宋_GB2312" w:eastAsia="仿宋_GB2312" w:cs="仿宋_GB2312"/>
          <w:b/>
          <w:sz w:val="30"/>
          <w:szCs w:val="30"/>
        </w:rPr>
        <w:t>建设内容。</w:t>
      </w:r>
      <w:r>
        <w:rPr>
          <w:rFonts w:hint="eastAsia" w:ascii="仿宋_GB2312" w:hAnsi="仿宋_GB2312" w:eastAsia="仿宋_GB2312" w:cs="仿宋_GB2312"/>
          <w:sz w:val="30"/>
          <w:szCs w:val="30"/>
        </w:rPr>
        <w:t>结合我院临床重点专科业务现状，通过建设集临床、管理、科研、随访于一体的专科专病数据平台，提升医院工作效率，增强临床与科研实力，提高患者满意度，助力医院信息化发展。本项目将以前列腺癌为重点病种</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建设符合国际、国内标准的数据库和生物样本库，并支持开展临床治疗、病理分析、影像学和生物标记物发现等多维度数据研究，持续有效地提高临床和科研能力。同时将信息技术和随访管理结合，构建患者的大数据信息平台，优化医生工作流程，缩</w:t>
      </w:r>
      <w:bookmarkStart w:id="0" w:name="_GoBack"/>
      <w:bookmarkEnd w:id="0"/>
      <w:r>
        <w:rPr>
          <w:rFonts w:hint="eastAsia" w:ascii="仿宋_GB2312" w:hAnsi="仿宋_GB2312" w:eastAsia="仿宋_GB2312" w:cs="仿宋_GB2312"/>
          <w:sz w:val="30"/>
          <w:szCs w:val="30"/>
        </w:rPr>
        <w:t>短患者诊疗周期，提高运营质量，节约诊治成本。具体功能包括数据治理服务、专科专病库建模、智慧化全程健康管理、患者随访以及专科专病科研服务等内容。</w:t>
      </w:r>
    </w:p>
    <w:p>
      <w:pPr>
        <w:rPr>
          <w:rFonts w:hint="eastAsia" w:ascii="仿宋" w:hAnsi="仿宋" w:eastAsia="仿宋" w:cs="仿宋"/>
          <w:bCs/>
          <w:sz w:val="30"/>
          <w:szCs w:val="30"/>
          <w:lang w:val="en-US" w:eastAsia="zh-CN"/>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2"/>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B6C17B"/>
    <w:multiLevelType w:val="singleLevel"/>
    <w:tmpl w:val="47B6C1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B7E"/>
    <w:rsid w:val="000B2706"/>
    <w:rsid w:val="0016195E"/>
    <w:rsid w:val="002A7F8C"/>
    <w:rsid w:val="0042680C"/>
    <w:rsid w:val="00563B7E"/>
    <w:rsid w:val="0060773B"/>
    <w:rsid w:val="006E048B"/>
    <w:rsid w:val="18944B1B"/>
    <w:rsid w:val="3CD76FF9"/>
    <w:rsid w:val="417C3111"/>
    <w:rsid w:val="60CB250D"/>
    <w:rsid w:val="7D0B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paragraph" w:styleId="7">
    <w:name w:val="List Paragraph"/>
    <w:basedOn w:val="1"/>
    <w:qFormat/>
    <w:uiPriority w:val="34"/>
    <w:pPr>
      <w:ind w:firstLine="420" w:firstLineChars="200"/>
    </w:pPr>
  </w:style>
  <w:style w:type="paragraph" w:customStyle="1" w:styleId="8">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1513</Words>
  <Characters>1570</Characters>
  <Lines>3</Lines>
  <Paragraphs>1</Paragraphs>
  <TotalTime>0</TotalTime>
  <ScaleCrop>false</ScaleCrop>
  <LinksUpToDate>false</LinksUpToDate>
  <CharactersWithSpaces>1573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江湖无我</cp:lastModifiedBy>
  <dcterms:modified xsi:type="dcterms:W3CDTF">2022-04-22T08:50:04Z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C8192EF20B7F4CC5A4E5A7DBECF73E56</vt:lpwstr>
  </property>
  <property fmtid="{D5CDD505-2E9C-101B-9397-08002B2CF9AE}" pid="4" name="commondata">
    <vt:lpwstr>eyJoZGlkIjoiYTdmNzNjZGZhZDI0OTA3NTI4ZjhiZWU2NzI2NmI4MGUifQ==</vt:lpwstr>
  </property>
</Properties>
</file>