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成都市第五人民医院</w:t>
      </w:r>
    </w:p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医保电子凭证移动支付项目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市场调研参数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项目背景</w:t>
      </w:r>
    </w:p>
    <w:p>
      <w:pPr>
        <w:spacing w:before="4" w:line="360" w:lineRule="auto"/>
        <w:ind w:left="5" w:right="75" w:firstLine="56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医保移动支付是医疗保障局基于深化医保电子凭证应用，运用信息化手段深入医保支付场景的新探索。医保移动支付是全国统一医保信息平台建设的重要组成部分，是促进医保高质量发展的有力抓手，更是推进医保治理体系和治理能力现代化的关键举措。医保移动支付能有效提升定点医药机构的结算效率，体现医保信息化建设的好用、实用性，为参保群众提供更加优质、便捷、高效的医保服务。四川省医疗保障局在关于确定医保移动支付的通知中，也明确了相关工作任务。</w:t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功能要求</w:t>
      </w:r>
      <w:bookmarkStart w:id="0" w:name="_Toc20368"/>
    </w:p>
    <w:p>
      <w:pPr>
        <w:spacing w:before="4" w:line="360" w:lineRule="auto"/>
        <w:ind w:left="5" w:right="75" w:firstLine="56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（一）第一步：通过国家医保/四川医保APP、支付宝及微信（或微信跳转APP）实现门诊及门特（包括互联网医院）线上医保结算</w:t>
      </w:r>
    </w:p>
    <w:p>
      <w:pPr>
        <w:spacing w:before="4" w:line="360" w:lineRule="auto"/>
        <w:ind w:left="5" w:right="75" w:firstLine="56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1、门特门诊：即从线上医保挂号（当日挂号、预约挂号），待医生开单后，线上推送缴费清单，患者线上支付，支付后推送发票，涉及退费的线上原路退回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并能线上查询检查检验报告；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未享受门统待遇的患者进行线上支付时可以实现个账共济；</w:t>
      </w:r>
    </w:p>
    <w:p>
      <w:pPr>
        <w:spacing w:before="4" w:line="360" w:lineRule="auto"/>
        <w:ind w:left="5" w:right="75" w:firstLine="56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、互联网医院： 医生可在线开具电子处方、检查检验医嘱等，在线查询检查检验报告，患者实现“一站式”在线支付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，同时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推送发票，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涉及退费的原路退回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。</w:t>
      </w:r>
    </w:p>
    <w:p>
      <w:pPr>
        <w:spacing w:before="4" w:line="360" w:lineRule="auto"/>
        <w:ind w:right="7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（二）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第二步：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通过国家医保/四川医保APP、支付宝及微信（或微信跳转APP）实现住院（包括床旁结算）线上医保结算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。</w:t>
      </w:r>
    </w:p>
    <w:p>
      <w:pPr>
        <w:spacing w:before="4" w:line="360" w:lineRule="auto"/>
        <w:ind w:left="5" w:right="75" w:firstLine="56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1、住院患者：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线上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办理医保登记、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交预交金、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护士站报到、推送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费用清单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及检查检验报告、出院患者自费+个账+医保“一站式”结算；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出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院结算时，个账可以共济。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医保结算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" w:line="360" w:lineRule="auto"/>
        <w:ind w:left="5" w:right="74" w:firstLine="565"/>
        <w:textAlignment w:val="auto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2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、床旁结算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：在床旁结算机中进行身份识别、费用查询、医保结算。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" w:line="360" w:lineRule="auto"/>
        <w:ind w:right="74"/>
        <w:textAlignment w:val="auto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（三）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 xml:space="preserve">第三步：在打通线上医保移动支付的基础上扩充线下移动支付渠道，增加移动支付终端的使用，即实现医保电子凭证线上线下的全流程应用。 </w:t>
      </w:r>
    </w:p>
    <w:p>
      <w:pPr>
        <w:spacing w:before="4" w:line="360" w:lineRule="auto"/>
        <w:ind w:left="5" w:right="75" w:firstLine="56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1、门诊、门特：包括挂号（当日挂号、预约挂号）—就诊签到—医生问诊开单，开单后推动费用账单—患者自费+个账+医保“一站式”缴费，结算完成后到检查检验科室扫脸报到、推送及查看报告/药房扫脸签到及取药。</w:t>
      </w:r>
    </w:p>
    <w:p>
      <w:pPr>
        <w:spacing w:before="4" w:line="360" w:lineRule="auto"/>
        <w:ind w:left="5" w:right="75" w:firstLine="56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 xml:space="preserve">2、住院：医保登记—护士站报到—出院“一站式”结算。                                                                                                                                                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（四）其他需求</w:t>
      </w:r>
    </w:p>
    <w:p>
      <w:pPr>
        <w:spacing w:before="4" w:line="360" w:lineRule="auto"/>
        <w:ind w:left="5" w:right="75" w:firstLine="56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 xml:space="preserve">1、账单查询：能提供医保移动支付结算记录、结算详情查看以及各渠道医保移动支付流水账单查询； </w:t>
      </w:r>
    </w:p>
    <w:p>
      <w:pPr>
        <w:spacing w:before="4" w:line="360" w:lineRule="auto"/>
        <w:ind w:left="5" w:right="75" w:firstLine="56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 xml:space="preserve"> 2、结算数据总览：提供医保移动支付结算笔数、金额、医保金额、自费金额、个账金额、退费明细及汇总数据。 </w:t>
      </w:r>
    </w:p>
    <w:p>
      <w:pPr>
        <w:spacing w:before="4" w:line="360" w:lineRule="auto"/>
        <w:ind w:left="5" w:right="75" w:firstLine="565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 xml:space="preserve">、完成时限：第一步需要在合同签订后2个月内完成；后续部分视省局时间节点推进。  </w:t>
      </w:r>
    </w:p>
    <w:bookmarkEnd w:id="0"/>
    <w:p>
      <w:pPr>
        <w:numPr>
          <w:ilvl w:val="0"/>
          <w:numId w:val="1"/>
        </w:numPr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接口要求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bookmarkStart w:id="1" w:name="_Toc29220"/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1、对接HIS</w:t>
      </w:r>
      <w:bookmarkEnd w:id="1"/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需协调HIS厂方或承建方进行系统对接工作。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2、对接医院支付宝门户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需协调支付宝门户承建方对接工作。</w:t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线下终端要求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1.总体要求：</w:t>
      </w:r>
    </w:p>
    <w:p>
      <w:pPr>
        <w:spacing w:before="4" w:line="360" w:lineRule="auto"/>
        <w:ind w:right="75" w:firstLine="616" w:firstLineChars="200"/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需要提供能支撑所有线下设备使用的应用平台，并对所有调研的医保业务终端设备提供统一管理平台；根据不同场景选择配置适宜的医保服务终端硬件设备，并赋予适宜场景的业务功能；依托统一建设平台、医保业务终端设备及对接相关接口提供一体化的医保移动支付能力。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2.医保业务终端功能要求：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①患者通过人脸识别、电子凭证、身份证等方式进行认证。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②便于患者完成医保参保信息查询、医保个账余额查询、医保服务指南等医保相关业务查询工作，同时支持异地就医备案等相关操作。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③支持全量门诊相关挂号缴费等业务操作并进行医保结算，支持打印相关检查检验等报告单。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3.线下终端应用场景要求：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①</w:t>
      </w: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桌面终端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：置于结算桌面等场景；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②窗口终端：置于结算窗口等场景；</w:t>
      </w:r>
    </w:p>
    <w:p>
      <w:pPr>
        <w:spacing w:before="4" w:line="360" w:lineRule="auto"/>
        <w:ind w:right="75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③支架式终端：置于结算自助应用等场景；</w:t>
      </w:r>
    </w:p>
    <w:p>
      <w:pPr>
        <w:spacing w:before="4" w:line="360" w:lineRule="auto"/>
        <w:ind w:right="75"/>
        <w:rPr>
          <w:rFonts w:hint="default" w:ascii="仿宋" w:hAnsi="仿宋" w:eastAsia="仿宋" w:cs="仿宋"/>
          <w:b w:val="0"/>
          <w:color w:val="000000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spacing w:val="-6"/>
          <w:sz w:val="32"/>
          <w:szCs w:val="32"/>
          <w:lang w:val="en-US" w:eastAsia="zh-CN"/>
        </w:rPr>
        <w:t>④一体式终端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：全场景覆盖模式的终端设备；</w:t>
      </w:r>
    </w:p>
    <w:p>
      <w:pPr>
        <w:numPr>
          <w:ilvl w:val="0"/>
          <w:numId w:val="1"/>
        </w:numPr>
        <w:rPr>
          <w:rFonts w:hint="default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模块建设</w:t>
      </w:r>
      <w:bookmarkStart w:id="2" w:name="_GoBack"/>
      <w:bookmarkEnd w:id="2"/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官方医保app支付渠道：聚合医保APP并接入省级医保移动支付中心。可作为挂号费用、医疗费用、购药费用医保实时线上结算的通道。</w:t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移动线上支付管理平台：提供平台提供后台管理功能，包括订单管理、商户管理、应用管理、统计分析、对账管理，数据监测，系统设置等。</w:t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移动线上支付收银台：通过医保APP、支付宝门户及微信门户（或微信跳转APP模式）提供线上结算服务，包括身份核验、订单获取、混合支付、接口转换等。</w:t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提供医保移动线上支付对账服务：提供医保移动线上支付对账服务，方便医疗机构核对医保移动线上支付各项账单明细， 为医院实现医保、自费等基于医保移动线上支付体系的精准对账服务。</w:t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提供HIS接口转换服务：根据现有的接口或视图，封装加密验签环节，同时提供接口参数适配功能，尽量减少医院技术服务商的改造量，最大限度加快上线速度。</w:t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提供协助移动支付权限申请服务：接入国家移动支付中台需要向地市、省、 国家局平台申请移动支付权限、配置各种密钥信息。供应商提供协助各级权限的申请、配置、调试等服务，实现快速上线。</w:t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提供接入移动支付中心指引服务：提供协助医保APP、微信、支付宝、银行等渠道方的账号申请、权限申请、密钥申请、配置调试、渠道对接等服务，减少定点医疗机构的工作量，加快上线速度。</w:t>
      </w:r>
    </w:p>
    <w:p>
      <w:pPr>
        <w:pStyle w:val="2"/>
        <w:rPr>
          <w:rFonts w:hint="default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1D266C"/>
    <w:multiLevelType w:val="singleLevel"/>
    <w:tmpl w:val="A21D266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1292427"/>
    <w:multiLevelType w:val="singleLevel"/>
    <w:tmpl w:val="C1292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QwOGRmYmViZjBiMTgwNDI0OWUyYmExYWUxMGMzMzgifQ=="/>
  </w:docVars>
  <w:rsids>
    <w:rsidRoot w:val="00563B7E"/>
    <w:rsid w:val="000B2706"/>
    <w:rsid w:val="0016195E"/>
    <w:rsid w:val="002A7F8C"/>
    <w:rsid w:val="0042680C"/>
    <w:rsid w:val="00563B7E"/>
    <w:rsid w:val="006E048B"/>
    <w:rsid w:val="0A0C367A"/>
    <w:rsid w:val="112B46C3"/>
    <w:rsid w:val="17D70DE8"/>
    <w:rsid w:val="18194E5B"/>
    <w:rsid w:val="18944B1B"/>
    <w:rsid w:val="2DE908EC"/>
    <w:rsid w:val="311C0F49"/>
    <w:rsid w:val="3CD76FF9"/>
    <w:rsid w:val="3E3101FD"/>
    <w:rsid w:val="417C3111"/>
    <w:rsid w:val="48042D21"/>
    <w:rsid w:val="561F5546"/>
    <w:rsid w:val="58377FCD"/>
    <w:rsid w:val="585A08B3"/>
    <w:rsid w:val="5DA32B1A"/>
    <w:rsid w:val="60CB250D"/>
    <w:rsid w:val="655D7946"/>
    <w:rsid w:val="6BCD51AF"/>
    <w:rsid w:val="71EA35A8"/>
    <w:rsid w:val="7AED20CF"/>
    <w:rsid w:val="7D0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5"/>
    <w:unhideWhenUsed/>
    <w:qFormat/>
    <w:uiPriority w:val="0"/>
    <w:pPr>
      <w:keepNext/>
      <w:keepLines/>
      <w:spacing w:before="260" w:after="260" w:line="413" w:lineRule="auto"/>
      <w:ind w:firstLine="200" w:firstLineChars="200"/>
      <w:jc w:val="left"/>
      <w:outlineLvl w:val="2"/>
    </w:pPr>
    <w:rPr>
      <w:rFonts w:ascii="Times New Roman" w:hAnsi="Times New Roman" w:eastAsia="Times New Roman" w:cs="Times New Roman"/>
      <w:b/>
      <w:color w:val="000000"/>
      <w:kern w:val="0"/>
      <w:sz w:val="32"/>
      <w:szCs w:val="24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5">
    <w:name w:val="缩进正文"/>
    <w:basedOn w:val="6"/>
    <w:qFormat/>
    <w:uiPriority w:val="0"/>
    <w:pPr>
      <w:spacing w:after="0"/>
      <w:ind w:firstLine="200" w:firstLineChars="200"/>
    </w:pPr>
    <w:rPr>
      <w:sz w:val="28"/>
    </w:rPr>
  </w:style>
  <w:style w:type="paragraph" w:styleId="6">
    <w:name w:val="Body Text First Indent"/>
    <w:basedOn w:val="7"/>
    <w:qFormat/>
    <w:uiPriority w:val="0"/>
    <w:pPr>
      <w:spacing w:line="480" w:lineRule="auto"/>
      <w:ind w:firstLine="420" w:firstLineChars="100"/>
      <w:jc w:val="left"/>
    </w:pPr>
    <w:rPr>
      <w:rFonts w:ascii="Times New Roman" w:hAnsi="Times New Roman" w:eastAsia="Times New Roman"/>
      <w:color w:val="000000"/>
      <w:kern w:val="0"/>
      <w:sz w:val="24"/>
      <w:lang w:eastAsia="en-US" w:bidi="en-US"/>
    </w:rPr>
  </w:style>
  <w:style w:type="paragraph" w:styleId="7">
    <w:name w:val="Body Text"/>
    <w:basedOn w:val="1"/>
    <w:unhideWhenUsed/>
    <w:qFormat/>
    <w:uiPriority w:val="0"/>
    <w:pPr>
      <w:spacing w:after="120"/>
    </w:pPr>
    <w:rPr>
      <w:rFonts w:ascii="Calibri" w:hAnsi="Calibri" w:eastAsia="宋体" w:cs="Times New Roman"/>
      <w:szCs w:val="24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2">
    <w:name w:val="Strong"/>
    <w:basedOn w:val="11"/>
    <w:qFormat/>
    <w:uiPriority w:val="22"/>
    <w:rPr>
      <w:b/>
      <w:bCs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2085</Words>
  <Characters>2108</Characters>
  <Lines>3</Lines>
  <Paragraphs>1</Paragraphs>
  <TotalTime>8</TotalTime>
  <ScaleCrop>false</ScaleCrop>
  <LinksUpToDate>false</LinksUpToDate>
  <CharactersWithSpaces>2263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溪溪理理</cp:lastModifiedBy>
  <dcterms:modified xsi:type="dcterms:W3CDTF">2023-01-18T01:33:52Z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C8192EF20B7F4CC5A4E5A7DBECF73E56</vt:lpwstr>
  </property>
</Properties>
</file>