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AD393">
      <w:pPr>
        <w:spacing w:before="151" w:line="241" w:lineRule="auto"/>
        <w:jc w:val="center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成都市第五人民医院</w:t>
      </w:r>
      <w:r>
        <w:rPr>
          <w:rFonts w:hint="eastAsia"/>
          <w:b/>
          <w:bCs/>
          <w:sz w:val="32"/>
          <w:szCs w:val="32"/>
        </w:rPr>
        <w:t>信息化</w:t>
      </w:r>
      <w:r>
        <w:rPr>
          <w:rFonts w:hint="eastAsia"/>
          <w:b/>
          <w:bCs/>
          <w:sz w:val="32"/>
          <w:szCs w:val="32"/>
          <w:lang w:val="en-US" w:eastAsia="zh-CN"/>
        </w:rPr>
        <w:t>建设</w:t>
      </w:r>
      <w:r>
        <w:rPr>
          <w:rFonts w:hint="eastAsia"/>
          <w:b/>
          <w:bCs/>
          <w:sz w:val="32"/>
          <w:szCs w:val="32"/>
        </w:rPr>
        <w:t>项目监理</w:t>
      </w:r>
      <w:r>
        <w:rPr>
          <w:rFonts w:hint="eastAsia"/>
          <w:b/>
          <w:bCs/>
          <w:sz w:val="32"/>
          <w:szCs w:val="32"/>
          <w:lang w:val="en-US" w:eastAsia="zh-CN"/>
        </w:rPr>
        <w:t>服务调研需求</w:t>
      </w:r>
    </w:p>
    <w:p w14:paraId="188FEA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 w:ascii="宋体" w:hAnsi="宋体" w:eastAsia="宋体" w:cs="宋体"/>
          <w:b/>
          <w:bCs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highlight w:val="none"/>
          <w:lang w:val="en-US" w:eastAsia="zh-CN" w:bidi="ar-SA"/>
        </w:rPr>
        <w:t>一、技术服务要求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6702"/>
      </w:tblGrid>
      <w:tr w14:paraId="7FBFD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0" w:type="dxa"/>
            <w:noWrap w:val="0"/>
            <w:vAlign w:val="top"/>
          </w:tcPr>
          <w:p w14:paraId="378064C2">
            <w:pPr>
              <w:tabs>
                <w:tab w:val="left" w:pos="720"/>
                <w:tab w:val="left" w:pos="900"/>
              </w:tabs>
              <w:snapToGrid w:val="0"/>
              <w:spacing w:line="560" w:lineRule="exact"/>
              <w:jc w:val="center"/>
              <w:rPr>
                <w:rFonts w:hint="eastAsia" w:ascii="宋体" w:hAnsi="宋体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/>
                <w:sz w:val="28"/>
                <w:szCs w:val="28"/>
                <w:shd w:val="clear" w:color="auto" w:fill="FFFFFF"/>
              </w:rPr>
              <w:t>阶段</w:t>
            </w:r>
          </w:p>
        </w:tc>
        <w:tc>
          <w:tcPr>
            <w:tcW w:w="6702" w:type="dxa"/>
            <w:noWrap w:val="0"/>
            <w:vAlign w:val="top"/>
          </w:tcPr>
          <w:p w14:paraId="4ED315BE">
            <w:pPr>
              <w:tabs>
                <w:tab w:val="left" w:pos="720"/>
                <w:tab w:val="left" w:pos="900"/>
              </w:tabs>
              <w:snapToGrid w:val="0"/>
              <w:spacing w:line="560" w:lineRule="exact"/>
              <w:jc w:val="center"/>
              <w:rPr>
                <w:rFonts w:hint="eastAsia" w:ascii="宋体" w:hAnsi="宋体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/>
                <w:sz w:val="28"/>
                <w:szCs w:val="28"/>
                <w:shd w:val="clear" w:color="auto" w:fill="FFFFFF"/>
              </w:rPr>
              <w:t>监理工作内容</w:t>
            </w:r>
          </w:p>
        </w:tc>
      </w:tr>
      <w:tr w14:paraId="640D9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0" w:type="dxa"/>
            <w:noWrap w:val="0"/>
            <w:vAlign w:val="center"/>
          </w:tcPr>
          <w:p w14:paraId="2FCA63C6">
            <w:pPr>
              <w:tabs>
                <w:tab w:val="left" w:pos="720"/>
                <w:tab w:val="left" w:pos="900"/>
              </w:tabs>
              <w:snapToGrid w:val="0"/>
              <w:spacing w:line="560" w:lineRule="exact"/>
              <w:jc w:val="center"/>
              <w:rPr>
                <w:rFonts w:hint="eastAsia" w:ascii="宋体" w:hAnsi="宋体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</w:rPr>
              <w:t>设计阶段</w:t>
            </w:r>
          </w:p>
        </w:tc>
        <w:tc>
          <w:tcPr>
            <w:tcW w:w="6702" w:type="dxa"/>
            <w:noWrap w:val="0"/>
            <w:vAlign w:val="top"/>
          </w:tcPr>
          <w:p w14:paraId="3D1FD7E0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（1）质量控制</w:t>
            </w:r>
          </w:p>
          <w:p w14:paraId="0A3B965F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1.审核承建单位提交的设计方案报审表；</w:t>
            </w:r>
          </w:p>
          <w:p w14:paraId="11C1437F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2.和采购人共同审核承建单位提交的阶段性测试验收方案报审表。</w:t>
            </w:r>
          </w:p>
          <w:p w14:paraId="166424E4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（2）进度控制</w:t>
            </w:r>
          </w:p>
          <w:p w14:paraId="406D3E8C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1.审核承建单位提交的阶段进度计划报审表；</w:t>
            </w:r>
          </w:p>
          <w:p w14:paraId="77DB2458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2.审核承建单位提交的阶段计划报审表；</w:t>
            </w:r>
          </w:p>
          <w:p w14:paraId="51F22639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3.根据承建单位提交的阶段计划，确定阶段性进度监督、控制的措施和方法，作为监理细则的内容。</w:t>
            </w:r>
          </w:p>
          <w:p w14:paraId="0FBB6240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（3）投资控制</w:t>
            </w:r>
          </w:p>
          <w:p w14:paraId="429E0649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1.依据采购文件、承建合同，审核项目计划、设计方案中所说明的建设目标、范围、内容、产品和服务，对可能的投资变化，向采购人提出监理意见；</w:t>
            </w:r>
          </w:p>
          <w:p w14:paraId="09A65BEF">
            <w:pPr>
              <w:spacing w:line="36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2.控制设计变更，变更应由采购人、承建单位、成交供应商三方达成共识，并做备忘录。</w:t>
            </w:r>
          </w:p>
          <w:p w14:paraId="1048B8FB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（4）合同管理</w:t>
            </w:r>
          </w:p>
          <w:p w14:paraId="0779CF05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1.及时处理采购人或承建单位合同变更的申请，协助保持合同、协议及其附件内容的实效性、一致性；</w:t>
            </w:r>
          </w:p>
          <w:p w14:paraId="7E881A58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2.及时对合同的变更做备忘录。</w:t>
            </w:r>
          </w:p>
          <w:p w14:paraId="3A877BBE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（5）信息管理</w:t>
            </w:r>
          </w:p>
          <w:p w14:paraId="0E45B263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1.对设计阶段采购人、承建单位、成交供应商三方共同参与的过程和活动做项目建设备忘录，并由三方签字确认；</w:t>
            </w:r>
          </w:p>
          <w:p w14:paraId="69E67C20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2.妥善保管项目设计阶段的文档；</w:t>
            </w:r>
          </w:p>
          <w:p w14:paraId="1D5A71E7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3.对项目建设中各方提出保密要求的信息实施保密。</w:t>
            </w:r>
          </w:p>
          <w:p w14:paraId="11B8E7B0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（6）协调</w:t>
            </w:r>
          </w:p>
          <w:p w14:paraId="353629A7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1.与采购人、承建单位确定设计阶段的协调形式和方法，如监理例会和专题会议等，并在项目过程中执行；</w:t>
            </w:r>
          </w:p>
          <w:p w14:paraId="1A45A572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2.协调采购人调动适当的资源，配合承建单位完成设计前期的调研工作；</w:t>
            </w:r>
          </w:p>
          <w:p w14:paraId="4029A3D3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3.对设计阶段出现的变更提出监理意见，协调采购人和承建单位达成一致；</w:t>
            </w:r>
          </w:p>
          <w:p w14:paraId="71AFE172">
            <w:pPr>
              <w:tabs>
                <w:tab w:val="left" w:pos="480"/>
                <w:tab w:val="left" w:pos="900"/>
              </w:tabs>
              <w:snapToGrid w:val="0"/>
              <w:spacing w:line="360" w:lineRule="exact"/>
              <w:rPr>
                <w:rFonts w:hint="eastAsia" w:hAnsi="宋体"/>
                <w:shd w:val="clear" w:color="auto" w:fill="FFFFFF"/>
              </w:rPr>
            </w:pPr>
            <w:r>
              <w:rPr>
                <w:rFonts w:hint="eastAsia"/>
              </w:rPr>
              <w:t>对协调结果做备忘录，并经采购人、承建单位、成交供应商三方签认</w:t>
            </w:r>
          </w:p>
        </w:tc>
      </w:tr>
      <w:tr w14:paraId="2893D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0" w:type="dxa"/>
            <w:noWrap w:val="0"/>
            <w:vAlign w:val="center"/>
          </w:tcPr>
          <w:p w14:paraId="46DA260C">
            <w:pPr>
              <w:tabs>
                <w:tab w:val="left" w:pos="720"/>
                <w:tab w:val="left" w:pos="900"/>
              </w:tabs>
              <w:snapToGrid w:val="0"/>
              <w:spacing w:line="560" w:lineRule="exact"/>
              <w:jc w:val="center"/>
              <w:rPr>
                <w:rFonts w:hint="eastAsia" w:ascii="宋体" w:hAnsi="宋体"/>
                <w:sz w:val="28"/>
                <w:szCs w:val="28"/>
                <w:shd w:val="clear" w:color="auto" w:fill="FFFFFF"/>
              </w:rPr>
            </w:pPr>
            <w:r>
              <w:rPr>
                <w:rFonts w:hint="eastAsia"/>
                <w:sz w:val="32"/>
                <w:szCs w:val="32"/>
              </w:rPr>
              <w:t>实施阶段</w:t>
            </w:r>
          </w:p>
        </w:tc>
        <w:tc>
          <w:tcPr>
            <w:tcW w:w="6702" w:type="dxa"/>
            <w:noWrap w:val="0"/>
            <w:vAlign w:val="top"/>
          </w:tcPr>
          <w:p w14:paraId="0C0A1328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（1）质量控制</w:t>
            </w:r>
          </w:p>
          <w:p w14:paraId="37EAA8AE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1.审核承建单位提交的质量管理计划申报表并签署意见；</w:t>
            </w:r>
          </w:p>
          <w:p w14:paraId="59D52EDA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2.组织采购人、承建单位召开工程实施准备会议，做出会议纪要，并经采购人、承建单位、成交供应商三方签认；</w:t>
            </w:r>
          </w:p>
          <w:p w14:paraId="1B8C74AE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3.组织审核承建单位提交的实施方案报审表；</w:t>
            </w:r>
          </w:p>
          <w:p w14:paraId="67732F2D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4.对承建单位提供的产品及服务进行验收，对验收结果作出记录，并经采购人、承建单位、成交供应商三方签认；</w:t>
            </w:r>
          </w:p>
          <w:p w14:paraId="5047166A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5.检查承建单位工程实施状况、人员与实施方案的一致性；</w:t>
            </w:r>
          </w:p>
          <w:p w14:paraId="61FEB404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6.执行阶段性质量监督和控制，并做监理日志；</w:t>
            </w:r>
          </w:p>
          <w:p w14:paraId="25D78770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7.及时处理承建单位提交的关键环节的实施申请，审核其合理性后签认并报采购人批准；</w:t>
            </w:r>
          </w:p>
          <w:p w14:paraId="06EC19C7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8.必要时，检查承建单位重要工作步骤的衔接工作，做监理日志；</w:t>
            </w:r>
          </w:p>
          <w:p w14:paraId="70DF4A11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9.审核工程变更申请，保证工程总体不受影响；</w:t>
            </w:r>
          </w:p>
          <w:p w14:paraId="4E411204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10.处理实施工程出现的各种质量事故；</w:t>
            </w:r>
          </w:p>
          <w:p w14:paraId="6F8E4BDA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11.在实施过程中，如发现存在重大质量隐患，应向承建单位签发停工令，并报采购人。</w:t>
            </w:r>
          </w:p>
          <w:p w14:paraId="71D74E94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（2）进度控制</w:t>
            </w:r>
          </w:p>
          <w:p w14:paraId="204A8660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1.审核承建单位提交的工程实施计划的合理性及实施计划报审表，并签署审核意见；</w:t>
            </w:r>
          </w:p>
          <w:p w14:paraId="722AEC78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2.审核承建单位提交的开工申请，并检查工程准备情况，签发开工令报采购人签认，通知承建单位开始实施工程；</w:t>
            </w:r>
          </w:p>
          <w:p w14:paraId="5C9A5CC2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3.审核承建单位提交的阶段性进度计划报审表；</w:t>
            </w:r>
          </w:p>
          <w:p w14:paraId="079A5916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4.定期检查工程的实施进度情况，确保实际进度与计划的一致性，并及时处理工程延期申请；</w:t>
            </w:r>
          </w:p>
          <w:p w14:paraId="2DCEF7CD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5.审查进度纠偏措施的合理性、可行性，签发监理通知单，报采购人，并要求承建单位按计划进行修改。</w:t>
            </w:r>
          </w:p>
          <w:p w14:paraId="668AD46A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（3）投资控制</w:t>
            </w:r>
          </w:p>
          <w:p w14:paraId="5D1DE9A3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1.审核承建单位提交的项目阶段性报告和付款申请，签发项目款支付意见，报采购人签认；</w:t>
            </w:r>
          </w:p>
          <w:p w14:paraId="61F5C29F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2.审查工程的质量、进度和投资等方面的变更，并做工程备忘录；</w:t>
            </w:r>
          </w:p>
          <w:p w14:paraId="2FF41301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3.及时处理各种索赔申请。</w:t>
            </w:r>
          </w:p>
          <w:p w14:paraId="56BDEDA3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（4）合同管理</w:t>
            </w:r>
          </w:p>
          <w:p w14:paraId="548A0B40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1.监督合同执行情况，定期向承建单位、采购人提交监理报告；</w:t>
            </w:r>
          </w:p>
          <w:p w14:paraId="2E980844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2.按程序处理项目实施中的各种变更；</w:t>
            </w:r>
          </w:p>
          <w:p w14:paraId="586F4459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3.及时协调合同纠纷，公正地调查分析，提出监理意见。</w:t>
            </w:r>
          </w:p>
          <w:p w14:paraId="78C8A757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（5）信息管理</w:t>
            </w:r>
          </w:p>
          <w:p w14:paraId="0FE5AE2F">
            <w:pPr>
              <w:spacing w:line="36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1.妥善管理实施阶段中所产生的开工令、停工令、监理通知、监理日志和工程备忘录等资料；</w:t>
            </w:r>
          </w:p>
          <w:p w14:paraId="25CF4EB8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2.监理机构应对工程实施阶段采购人、承建单位、成交供应商三方共同参与的过程和活动做工程备忘录，并由三方确认；</w:t>
            </w:r>
          </w:p>
          <w:p w14:paraId="19235009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3.监督采购人和承建单位按照既定的要求编制和管理工程文档。</w:t>
            </w:r>
          </w:p>
          <w:p w14:paraId="5E6E70C1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（6）协调</w:t>
            </w:r>
          </w:p>
          <w:p w14:paraId="27B3153A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1.与采购人和承建单位共同建立实施阶段协调的机制；</w:t>
            </w:r>
          </w:p>
          <w:p w14:paraId="4CE3ECB8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2.及时组织专题会议，解决专项问题，做出会议纪要，并提交采购人和承建单位；</w:t>
            </w:r>
          </w:p>
          <w:p w14:paraId="64F64788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3.协调采购人和承建单位对工程变更的范围和内容等达成一致性；</w:t>
            </w:r>
          </w:p>
          <w:p w14:paraId="326C6F54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4.协调采购人和承建单位对索赔意见达成一致；</w:t>
            </w:r>
          </w:p>
          <w:p w14:paraId="4F522D2E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5.协调采购人配合承建单位的工程实施。</w:t>
            </w:r>
          </w:p>
          <w:p w14:paraId="0FC38B07">
            <w:pPr>
              <w:spacing w:line="36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6.对协调结果做备忘录，并经采购人、承建单位、成交供应商三方签认。</w:t>
            </w:r>
          </w:p>
          <w:p w14:paraId="1AA3BF54">
            <w:pPr>
              <w:tabs>
                <w:tab w:val="left" w:pos="480"/>
                <w:tab w:val="left" w:pos="900"/>
              </w:tabs>
              <w:snapToGrid w:val="0"/>
              <w:spacing w:line="360" w:lineRule="exact"/>
              <w:rPr>
                <w:rFonts w:hint="eastAsia" w:hAnsi="宋体"/>
                <w:shd w:val="clear" w:color="auto" w:fill="FFFFFF"/>
              </w:rPr>
            </w:pPr>
          </w:p>
        </w:tc>
      </w:tr>
      <w:tr w14:paraId="7CF22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0" w:type="dxa"/>
            <w:noWrap w:val="0"/>
            <w:vAlign w:val="center"/>
          </w:tcPr>
          <w:p w14:paraId="0CE5CE43">
            <w:pPr>
              <w:tabs>
                <w:tab w:val="left" w:pos="720"/>
                <w:tab w:val="left" w:pos="900"/>
              </w:tabs>
              <w:snapToGrid w:val="0"/>
              <w:spacing w:line="560" w:lineRule="exact"/>
              <w:jc w:val="center"/>
              <w:rPr>
                <w:rFonts w:hint="eastAsia" w:ascii="宋体" w:hAnsi="宋体"/>
                <w:sz w:val="28"/>
                <w:szCs w:val="28"/>
                <w:shd w:val="clear" w:color="auto" w:fill="FFFFFF"/>
              </w:rPr>
            </w:pPr>
            <w:r>
              <w:rPr>
                <w:rFonts w:hint="eastAsia"/>
                <w:sz w:val="32"/>
                <w:szCs w:val="32"/>
              </w:rPr>
              <w:t>验收阶段</w:t>
            </w:r>
          </w:p>
        </w:tc>
        <w:tc>
          <w:tcPr>
            <w:tcW w:w="6702" w:type="dxa"/>
            <w:noWrap w:val="0"/>
            <w:vAlign w:val="top"/>
          </w:tcPr>
          <w:p w14:paraId="47AD1C8E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（1）质量控制</w:t>
            </w:r>
          </w:p>
          <w:p w14:paraId="0ED613FE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1.及时处理承建单位提交的初验申请，审核初验的必备条件，签认后报采购人签认；</w:t>
            </w:r>
          </w:p>
          <w:p w14:paraId="3251ED78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2.协助采购人审核承建单位验收计划及方案，明确验收目标、各方责任、验收内容、验收标准、验收方式和验收结果等内容，审核后签署意见；</w:t>
            </w:r>
          </w:p>
          <w:p w14:paraId="54A75F63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3.协助采购人对初验中发现的质量问题进行评估，并确定整改要求和验收方式；以监理通知单告知承建单位。必要时组织重验；</w:t>
            </w:r>
          </w:p>
          <w:p w14:paraId="69E3E249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4.敦促承建单位根据整改要求提出整改方案，并监督整改过程；</w:t>
            </w:r>
          </w:p>
          <w:p w14:paraId="5D00E5A8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5.与采购人和承建单位共同对初验结果进行确认，并共同签署初验合格报告；</w:t>
            </w:r>
          </w:p>
          <w:p w14:paraId="425F3C15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6.监督系统的试运行；敦促承建单位解决试运行出现的各种质量问题；</w:t>
            </w:r>
          </w:p>
          <w:p w14:paraId="50FBE842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7.协助采购人组织工程验收；</w:t>
            </w:r>
          </w:p>
          <w:p w14:paraId="22361FDC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8.督促承建单位完成项目实施方案中确定的培训，并对培训进行评估。</w:t>
            </w:r>
          </w:p>
          <w:p w14:paraId="18021FED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（2）进度控制</w:t>
            </w:r>
          </w:p>
          <w:p w14:paraId="78567EF3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1.对验收阶段进度安排提出监理意见；</w:t>
            </w:r>
          </w:p>
          <w:p w14:paraId="0E027C34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2.审核承建单位初验、终验和工程整改计划的可行性，并以通知单的形式告知采购人和承建单位；</w:t>
            </w:r>
          </w:p>
          <w:p w14:paraId="6DDAA454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3.要求采购人和承建单位以初验合格报告作为启动试运行的依据，以终验报告作为工程验收结束的依据。</w:t>
            </w:r>
          </w:p>
          <w:p w14:paraId="018C8F55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（3）投资控制</w:t>
            </w:r>
          </w:p>
          <w:p w14:paraId="2FB6213C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1.审核承建单位提交的阶段性付款申请，并根据合同规定签发工程支付意见；</w:t>
            </w:r>
          </w:p>
          <w:p w14:paraId="22301745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2.协助采购人进行工程决算。</w:t>
            </w:r>
          </w:p>
          <w:p w14:paraId="75273E78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（4）合同管理</w:t>
            </w:r>
          </w:p>
          <w:p w14:paraId="595503D1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1.及时向采购人、承建单位通报承建合同、协议及相关变更所规定工程内容的执行情况，提出监理意见；</w:t>
            </w:r>
          </w:p>
          <w:p w14:paraId="3A453AAB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2.协助采购人和承建单位签署其他补充协议。</w:t>
            </w:r>
          </w:p>
          <w:p w14:paraId="3326425B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（5）管理工程验收阶段文档；</w:t>
            </w:r>
          </w:p>
          <w:p w14:paraId="0CAFD501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1.敦促采购人、承建单位按照事先约定，编制、签署和妥善保存验收阶段的工程文档；</w:t>
            </w:r>
          </w:p>
          <w:p w14:paraId="73DCC3A4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2.督促采购人、承建单位及时整理工程文档；</w:t>
            </w:r>
          </w:p>
          <w:p w14:paraId="1AB819AD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3.整理与项目有关的全部监理文档，并提交采购人。</w:t>
            </w:r>
          </w:p>
          <w:p w14:paraId="70CDADDF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（6）协调</w:t>
            </w:r>
          </w:p>
          <w:p w14:paraId="1A9A61E0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1.协调采购人和承建单位在验收计划、验收目标、验收范围、验收内容、验收方法和验收标准等方面的一致性，填报项目备忘录，并经采购人、承建单位、成交供应商三方签认；</w:t>
            </w:r>
          </w:p>
          <w:p w14:paraId="31111DC1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2.协调采购人配合验收阶段的工作；</w:t>
            </w:r>
          </w:p>
          <w:p w14:paraId="046053B2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3.及时填报验收阶段的工程备忘录，并经采购人、承建单位、成交供应商三方签认；</w:t>
            </w:r>
          </w:p>
          <w:p w14:paraId="3824B249">
            <w:pPr>
              <w:spacing w:line="360" w:lineRule="exact"/>
              <w:ind w:firstLine="420" w:firstLineChars="200"/>
            </w:pPr>
            <w:r>
              <w:rPr>
                <w:rFonts w:hint="eastAsia"/>
              </w:rPr>
              <w:t>4.协助采购人和承建单位完成工程移交工作。</w:t>
            </w:r>
          </w:p>
          <w:p w14:paraId="140B0257">
            <w:pPr>
              <w:tabs>
                <w:tab w:val="left" w:pos="480"/>
                <w:tab w:val="left" w:pos="900"/>
              </w:tabs>
              <w:snapToGrid w:val="0"/>
              <w:spacing w:line="360" w:lineRule="exact"/>
              <w:rPr>
                <w:rFonts w:hint="eastAsia" w:hAnsi="宋体"/>
                <w:shd w:val="clear" w:color="auto" w:fill="FFFFFF"/>
              </w:rPr>
            </w:pPr>
          </w:p>
        </w:tc>
      </w:tr>
    </w:tbl>
    <w:p w14:paraId="24566981">
      <w:pPr>
        <w:spacing w:before="1" w:line="229" w:lineRule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</w:pPr>
    </w:p>
    <w:p w14:paraId="31DCCC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其他要求</w:t>
      </w:r>
    </w:p>
    <w:p w14:paraId="0ED9E980">
      <w:pPr>
        <w:spacing w:line="360" w:lineRule="auto"/>
        <w:ind w:firstLine="420" w:firstLineChars="200"/>
        <w:rPr>
          <w:rFonts w:hint="eastAsia" w:eastAsia="宋体"/>
          <w:lang w:eastAsia="zh-CN"/>
        </w:rPr>
      </w:pPr>
      <w:r>
        <w:rPr>
          <w:rFonts w:hint="eastAsia"/>
        </w:rPr>
        <w:t>1.服务期限：自合同签订之日起3年，3年内未完成验收的信息化项目须至全部通过验收为止</w:t>
      </w:r>
      <w:r>
        <w:rPr>
          <w:rFonts w:hint="eastAsia" w:eastAsia="宋体"/>
          <w:lang w:eastAsia="zh-CN"/>
        </w:rPr>
        <w:t>。</w:t>
      </w:r>
    </w:p>
    <w:p w14:paraId="78806850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2.报价：本项目一采三年。服务费采用分段付费比例取费，按照年度内单个</w:t>
      </w:r>
      <w:r>
        <w:rPr>
          <w:rFonts w:hint="eastAsia" w:eastAsia="宋体"/>
          <w:lang w:val="en-US" w:eastAsia="zh-CN"/>
        </w:rPr>
        <w:t>5</w:t>
      </w:r>
      <w:r>
        <w:rPr>
          <w:rFonts w:hint="eastAsia"/>
        </w:rPr>
        <w:t>0万元及以上建设项目的中标金额总额分阶段付费百分比（%）进行取费，取费金额（服务费）进行统一折扣率报价。报价应包括但不限于各项成本、管理费、利润、税金等以及完成本项目所有监理服务工作所产生的全部费用。</w:t>
      </w:r>
    </w:p>
    <w:p w14:paraId="2AF88491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3.合同生效后进行单个项目据实结算，年度监理服务费总额不超过本年度预算，如遇特殊情况双方自行约定。</w:t>
      </w:r>
    </w:p>
    <w:p w14:paraId="6049205F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4.服务地点：成都市</w:t>
      </w:r>
      <w:r>
        <w:rPr>
          <w:rFonts w:hint="eastAsia" w:eastAsia="宋体"/>
          <w:lang w:val="en-US" w:eastAsia="zh-CN"/>
        </w:rPr>
        <w:t>第五人民</w:t>
      </w:r>
      <w:r>
        <w:rPr>
          <w:rFonts w:hint="eastAsia"/>
        </w:rPr>
        <w:t>医院。</w:t>
      </w:r>
    </w:p>
    <w:p w14:paraId="64CB3BF6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5.验收要求：按照相关法律法规的要求进行履约验收。</w:t>
      </w:r>
      <w:bookmarkStart w:id="0" w:name="_GoBack"/>
      <w:bookmarkEnd w:id="0"/>
    </w:p>
    <w:p w14:paraId="5C3B7737">
      <w:pPr>
        <w:spacing w:line="451" w:lineRule="exact"/>
        <w:ind w:firstLine="420" w:firstLineChars="200"/>
        <w:jc w:val="both"/>
        <w:rPr>
          <w:rFonts w:hint="eastAsia"/>
        </w:rPr>
      </w:pPr>
    </w:p>
    <w:p w14:paraId="2FC4E353">
      <w:pPr>
        <w:spacing w:line="451" w:lineRule="exact"/>
        <w:ind w:firstLine="420" w:firstLineChars="200"/>
        <w:jc w:val="both"/>
        <w:rPr>
          <w:rFonts w:hint="eastAsia"/>
        </w:rPr>
      </w:pPr>
    </w:p>
    <w:p w14:paraId="73D09F35">
      <w:pPr>
        <w:spacing w:before="1" w:line="30" w:lineRule="exact"/>
      </w:pPr>
    </w:p>
    <w:p w14:paraId="1B8C1270">
      <w:pPr>
        <w:rPr>
          <w:rFonts w:hint="default"/>
          <w:lang w:val="en-US" w:eastAsia="zh-CN"/>
        </w:rPr>
      </w:pPr>
    </w:p>
    <w:sectPr>
      <w:footerReference r:id="rId3" w:type="default"/>
      <w:pgSz w:w="11906" w:h="16839"/>
      <w:pgMar w:top="871" w:right="1705" w:bottom="1823" w:left="1562" w:header="0" w:footer="166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559FA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1MWQ0NjBmODcxN2NjNTEzOWRkMWU5ZDZjNDc1ZDQifQ=="/>
  </w:docVars>
  <w:rsids>
    <w:rsidRoot w:val="43A63CED"/>
    <w:rsid w:val="02A43050"/>
    <w:rsid w:val="031C627C"/>
    <w:rsid w:val="03CE18F8"/>
    <w:rsid w:val="04E85352"/>
    <w:rsid w:val="09862E1C"/>
    <w:rsid w:val="0CD22843"/>
    <w:rsid w:val="0D2041F6"/>
    <w:rsid w:val="12183726"/>
    <w:rsid w:val="145E00B3"/>
    <w:rsid w:val="1C550B58"/>
    <w:rsid w:val="21C33CC9"/>
    <w:rsid w:val="22BC1842"/>
    <w:rsid w:val="230751DE"/>
    <w:rsid w:val="234614D1"/>
    <w:rsid w:val="285B0625"/>
    <w:rsid w:val="2E8E2147"/>
    <w:rsid w:val="30D90521"/>
    <w:rsid w:val="335257AD"/>
    <w:rsid w:val="348D5F2C"/>
    <w:rsid w:val="35F475EF"/>
    <w:rsid w:val="36193C1A"/>
    <w:rsid w:val="36781175"/>
    <w:rsid w:val="37A00D22"/>
    <w:rsid w:val="409A576D"/>
    <w:rsid w:val="41B636AC"/>
    <w:rsid w:val="42F637F7"/>
    <w:rsid w:val="43054AC7"/>
    <w:rsid w:val="4376774B"/>
    <w:rsid w:val="43A63CED"/>
    <w:rsid w:val="45940370"/>
    <w:rsid w:val="494C6B32"/>
    <w:rsid w:val="4AEA17E0"/>
    <w:rsid w:val="4C617D74"/>
    <w:rsid w:val="50962F12"/>
    <w:rsid w:val="544D38E7"/>
    <w:rsid w:val="56E21C0C"/>
    <w:rsid w:val="5B7C721B"/>
    <w:rsid w:val="5CA21F50"/>
    <w:rsid w:val="5EFB6F37"/>
    <w:rsid w:val="6083374F"/>
    <w:rsid w:val="67A5501F"/>
    <w:rsid w:val="68A048F4"/>
    <w:rsid w:val="6DAF419E"/>
    <w:rsid w:val="7243421C"/>
    <w:rsid w:val="731C73CE"/>
    <w:rsid w:val="74F5708A"/>
    <w:rsid w:val="79F2751F"/>
    <w:rsid w:val="7C3755ED"/>
    <w:rsid w:val="7C983DE1"/>
    <w:rsid w:val="7CF90201"/>
    <w:rsid w:val="7D3B0AEB"/>
    <w:rsid w:val="7EBA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4">
    <w:name w:val="Default Paragraph Font"/>
    <w:autoRedefine/>
    <w:semiHidden/>
    <w:qFormat/>
    <w:uiPriority w:val="0"/>
  </w:style>
  <w:style w:type="table" w:default="1" w:styleId="1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unhideWhenUsed/>
    <w:qFormat/>
    <w:uiPriority w:val="0"/>
    <w:pPr>
      <w:spacing w:line="360" w:lineRule="auto"/>
      <w:ind w:firstLine="420" w:firstLineChars="200"/>
    </w:pPr>
    <w:rPr>
      <w:rFonts w:asciiTheme="minorHAnsi" w:hAnsiTheme="minorHAnsi"/>
      <w:sz w:val="24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"/>
    <w:basedOn w:val="1"/>
    <w:next w:val="6"/>
    <w:qFormat/>
    <w:uiPriority w:val="0"/>
    <w:pPr>
      <w:spacing w:after="120" w:afterLines="0" w:afterAutospacing="0"/>
      <w:ind w:left="420" w:leftChars="200"/>
    </w:pPr>
  </w:style>
  <w:style w:type="paragraph" w:styleId="6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7">
    <w:name w:val="Body Text Indent 2"/>
    <w:basedOn w:val="1"/>
    <w:qFormat/>
    <w:uiPriority w:val="0"/>
    <w:pPr>
      <w:ind w:firstLine="585"/>
    </w:pPr>
    <w:rPr>
      <w:rFonts w:ascii="宋体" w:eastAsia="宋体"/>
      <w:sz w:val="30"/>
      <w:szCs w:val="20"/>
    </w:rPr>
  </w:style>
  <w:style w:type="paragraph" w:styleId="8">
    <w:name w:val="toc 6"/>
    <w:basedOn w:val="1"/>
    <w:next w:val="1"/>
    <w:unhideWhenUsed/>
    <w:qFormat/>
    <w:uiPriority w:val="39"/>
    <w:pPr>
      <w:ind w:left="2100" w:leftChars="1000"/>
    </w:pPr>
    <w:rPr>
      <w:szCs w:val="22"/>
    </w:rPr>
  </w:style>
  <w:style w:type="paragraph" w:styleId="9">
    <w:name w:val="Title"/>
    <w:basedOn w:val="1"/>
    <w:next w:val="1"/>
    <w:qFormat/>
    <w:uiPriority w:val="10"/>
    <w:pPr>
      <w:spacing w:before="60" w:after="60"/>
      <w:jc w:val="left"/>
      <w:outlineLvl w:val="2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10">
    <w:name w:val="Body Text First Indent"/>
    <w:basedOn w:val="4"/>
    <w:next w:val="8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customStyle="1" w:styleId="17">
    <w:name w:val="BodyText"/>
    <w:basedOn w:val="1"/>
    <w:next w:val="1"/>
    <w:qFormat/>
    <w:uiPriority w:val="0"/>
    <w:pPr>
      <w:spacing w:after="120"/>
    </w:pPr>
  </w:style>
  <w:style w:type="paragraph" w:styleId="18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9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  <w:style w:type="paragraph" w:styleId="20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2467</Words>
  <Characters>2642</Characters>
  <Lines>0</Lines>
  <Paragraphs>0</Paragraphs>
  <TotalTime>1</TotalTime>
  <ScaleCrop>false</ScaleCrop>
  <LinksUpToDate>false</LinksUpToDate>
  <CharactersWithSpaces>2647</CharactersWithSpaces>
  <Application>WPS Office_12.1.0.23122_F1E327BC-269C-435d-A152-05C5408002CA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2024-02-23T09:47:00Z</dcterms:created>
  <dc:creator>张三喵®ʕ·͡ˑ·ཻʔ</dc:creator>
  <cp:lastModifiedBy>张龙海</cp:lastModifiedBy>
  <dcterms:modified xsi:type="dcterms:W3CDTF">2026-10-21T01:31:48Z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2052-12.1.0.23122</vt:lpwstr>
  </property>
  <property fmtid="{D5CDD505-2E9C-101B-9397-08002B2CF9AE}" pid="3" name="ICV">
    <vt:lpwstr>55FFDAD5D5964861B3C144D195158EAE_13</vt:lpwstr>
  </property>
  <property fmtid="{D5CDD505-2E9C-101B-9397-08002B2CF9AE}" pid="4" name="KSOTemplateDocerSaveRecord">
    <vt:lpwstr>eyJoZGlkIjoiNDNmMGZiOTlkZWMzNjE0NjRjN2VmZGE2NzMyNzhhNGIiLCJ1c2VySWQiOiIxNjQ2MzQ3NDE5In0=</vt:lpwstr>
  </property>
</Properties>
</file>