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A4A44F">
      <w:pPr>
        <w:rPr>
          <w:rFonts w:hint="eastAsia" w:eastAsia="宋体"/>
          <w:lang w:val="en-US" w:eastAsia="zh-CN"/>
        </w:rPr>
      </w:pPr>
      <w:r>
        <w:rPr>
          <w:rFonts w:hint="eastAsia"/>
          <w:lang w:val="en-US" w:eastAsia="zh-CN"/>
        </w:rPr>
        <w:t>附件一</w:t>
      </w:r>
    </w:p>
    <w:p w14:paraId="152E9DD3">
      <w:pPr>
        <w:jc w:val="center"/>
        <w:rPr>
          <w:rFonts w:hint="eastAsia" w:eastAsia="宋体" w:cs="宋体"/>
          <w:b/>
          <w:bCs/>
          <w:sz w:val="32"/>
          <w:szCs w:val="32"/>
          <w:highlight w:val="none"/>
          <w:lang w:val="en-US" w:eastAsia="zh-CN"/>
        </w:rPr>
      </w:pPr>
      <w:r>
        <w:rPr>
          <w:rFonts w:hint="eastAsia" w:eastAsia="宋体" w:cs="宋体"/>
          <w:b/>
          <w:bCs/>
          <w:sz w:val="32"/>
          <w:szCs w:val="32"/>
          <w:highlight w:val="none"/>
          <w:lang w:val="en-US" w:eastAsia="zh-CN"/>
        </w:rPr>
        <w:t>东区及二号楼网络改造建设需求</w:t>
      </w:r>
    </w:p>
    <w:p w14:paraId="667508F6">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成都市第五人民医院东区及西院区二号楼网络改造项目调研主要将对以下几个部分进行建设方案和建设需求调研：</w:t>
      </w:r>
    </w:p>
    <w:p w14:paraId="79837461">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1、西区2号楼有线网络和无线网络（含物联网）更换升级</w:t>
      </w:r>
    </w:p>
    <w:p w14:paraId="2C49CC00">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2、东区基础网络管网建设</w:t>
      </w:r>
    </w:p>
    <w:p w14:paraId="21118455">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3、东院区（老年病院区）有线网络和无线网络（含物联网）建设</w:t>
      </w:r>
    </w:p>
    <w:p w14:paraId="58CB83DE">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4、医院网络管理平台和认证平台建设</w:t>
      </w:r>
    </w:p>
    <w:p w14:paraId="06590FC8">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这四个部分的主要建设内容和需求如下：</w:t>
      </w:r>
    </w:p>
    <w:p w14:paraId="74AD5897">
      <w:pPr>
        <w:pStyle w:val="3"/>
        <w:bidi w:val="0"/>
        <w:rPr>
          <w:rFonts w:hint="eastAsia" w:ascii="方正仿宋_GB2312" w:hAnsi="方正仿宋_GB2312" w:eastAsia="方正仿宋_GB2312" w:cs="方正仿宋_GB2312"/>
          <w:lang w:val="en-US" w:eastAsia="zh-CN"/>
        </w:rPr>
      </w:pPr>
      <w:bookmarkStart w:id="0" w:name="_Toc29986"/>
      <w:r>
        <w:rPr>
          <w:rFonts w:hint="eastAsia" w:ascii="方正仿宋_GB2312" w:hAnsi="方正仿宋_GB2312" w:eastAsia="方正仿宋_GB2312" w:cs="方正仿宋_GB2312"/>
          <w:lang w:val="en-US" w:eastAsia="zh-CN"/>
        </w:rPr>
        <w:t>西院区一号楼内网网络升级</w:t>
      </w:r>
      <w:bookmarkEnd w:id="0"/>
    </w:p>
    <w:p w14:paraId="16347020">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西院区一号楼网络建设于2018年，网络分为物理隔离的内网、办公外网和物业网三套网络，其中内网还附加有一套用于无线医护的无线网络系统。有线网络主要采用的是H3C品牌的网络设备进行组网，无线网络主要采用的是锐捷品牌的网络设备进行组网。</w:t>
      </w:r>
    </w:p>
    <w:p w14:paraId="205E2BE3">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医院目前主要业务是运行在内网上，出于节约成本的考虑，本次仅对现有设备进行检测清洁，确认功能正常的设备将继续使用，如检测到有功能异常的设备则进行替换维修。</w:t>
      </w:r>
    </w:p>
    <w:p w14:paraId="687DF8E8">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对于无线网络，将对现有住院区域的无线网络进行全面测试，对发现的信号覆盖盲区增加无线接入点进行补盲；对原有设计没有无线覆盖，但现需要进行无线覆盖的区域，则通过增加无线接入点的方式完成覆盖。</w:t>
      </w:r>
    </w:p>
    <w:p w14:paraId="15B3D0B8">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本次改造该区域将直接增加WIFI7放装型无线接入点完成对需要补盲的无线区域进行覆盖。</w:t>
      </w:r>
    </w:p>
    <w:p w14:paraId="3669502F">
      <w:pPr>
        <w:pStyle w:val="3"/>
        <w:bidi w:val="0"/>
        <w:rPr>
          <w:rFonts w:hint="eastAsia" w:ascii="方正仿宋_GB2312" w:hAnsi="方正仿宋_GB2312" w:eastAsia="方正仿宋_GB2312" w:cs="方正仿宋_GB2312"/>
          <w:lang w:val="en-US" w:eastAsia="zh-CN"/>
        </w:rPr>
      </w:pPr>
      <w:bookmarkStart w:id="1" w:name="_Toc25066"/>
      <w:r>
        <w:rPr>
          <w:rFonts w:hint="eastAsia" w:ascii="方正仿宋_GB2312" w:hAnsi="方正仿宋_GB2312" w:eastAsia="方正仿宋_GB2312" w:cs="方正仿宋_GB2312"/>
          <w:lang w:val="en-US" w:eastAsia="zh-CN"/>
        </w:rPr>
        <w:t>西院区二号楼内网网络升级及内网无线升级</w:t>
      </w:r>
      <w:bookmarkEnd w:id="1"/>
    </w:p>
    <w:p w14:paraId="65581CBE">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西院区二号楼网络建设于2009年，网络分为物理隔离的内网和外网两套网络，其中内网还附加有一套用于无线医护的无线网络系统。内网和外网主要采用的是思科品牌的网络设备进行组网，无线网络主要采用的是Aruba品牌的网络设备进行组网。</w:t>
      </w:r>
    </w:p>
    <w:p w14:paraId="6D94854F">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因二号楼整体网络建设时间较早，网络设备已严重老化，其性能也无法满足医院的业务发展需要，故对二号楼的内外网及无线网络设备，拟采用全部更换升级的方案。升级后的二号楼网络在建设标准上将与一号楼和新院区网络建设标准相对齐，能够满足医院未来5-7年的业务发展需要。</w:t>
      </w:r>
    </w:p>
    <w:p w14:paraId="4009BCAF">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二号楼的内网网络升级是将现有的百兆交换机更换为全千兆的接入交换机，并在二号楼汇聚机房增加两台模块化汇聚交换机互为冗余，楼内所有接入交换机均通过冗余光纤链路上联至汇聚交换机。</w:t>
      </w:r>
    </w:p>
    <w:p w14:paraId="2ABFA3D6">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二号楼的内网无线升级是将现有的放装型无线AP拆除替换为零漫游无线AP，零漫游无线AP采用馈线+天线的方式将无线信号直接导入病房、医生办公室和病区走廊，使得整个病区由同一张无线网络覆盖，各类医护终端在该区域内移动均不会触发设备漫游切换，同时这种细分入室覆盖的方案也能最大化的优化无线网络覆盖，消除信号盲区。同时本次使用的零漫游AP均内置有物联网拓展模块，可以让医院在不额外增加一套物联网设备的情况下部署如输液监控、人员定位导航、物资耗材定位、病人生命体征检测等物联网应用。</w:t>
      </w:r>
    </w:p>
    <w:p w14:paraId="551F93C4">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针对二号楼内的开放区域，采用和一号楼一样的无线覆盖方式，采用放装无线AP覆盖；二号楼的手术室采用冗余面板式无线AP覆盖。</w:t>
      </w:r>
    </w:p>
    <w:p w14:paraId="160E3CD7">
      <w:pPr>
        <w:pStyle w:val="3"/>
        <w:bidi w:val="0"/>
        <w:rPr>
          <w:rFonts w:hint="default" w:ascii="方正仿宋_GB2312" w:hAnsi="方正仿宋_GB2312" w:eastAsia="方正仿宋_GB2312" w:cs="方正仿宋_GB2312"/>
          <w:lang w:val="en-US" w:eastAsia="zh-CN"/>
        </w:rPr>
      </w:pPr>
      <w:bookmarkStart w:id="2" w:name="_Toc3879"/>
      <w:r>
        <w:rPr>
          <w:rFonts w:hint="eastAsia" w:ascii="方正仿宋_GB2312" w:hAnsi="方正仿宋_GB2312" w:eastAsia="方正仿宋_GB2312" w:cs="方正仿宋_GB2312"/>
          <w:lang w:val="en-US" w:eastAsia="zh-CN"/>
        </w:rPr>
        <w:t>西院区其他区域内网无线网络</w:t>
      </w:r>
      <w:bookmarkEnd w:id="2"/>
      <w:r>
        <w:rPr>
          <w:rFonts w:hint="eastAsia" w:ascii="方正仿宋_GB2312" w:hAnsi="方正仿宋_GB2312" w:eastAsia="方正仿宋_GB2312" w:cs="方正仿宋_GB2312"/>
          <w:lang w:val="en-US" w:eastAsia="zh-CN"/>
        </w:rPr>
        <w:t>信号补充</w:t>
      </w:r>
    </w:p>
    <w:p w14:paraId="31E832ED">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本次网络升级也将对一号楼、六号楼无线信号差的区域、发热门诊和行政楼无无线信号覆盖的区域做补充建设，新建无线网络按千兆标准进行设计。</w:t>
      </w:r>
    </w:p>
    <w:p w14:paraId="5E828239">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同时针对医院二号楼放射科的阅片中心，增加若干台万兆接入交换机直连数据中心，以保证阅片中心调取PACS系统图片的速度。</w:t>
      </w:r>
    </w:p>
    <w:p w14:paraId="5197230F">
      <w:pPr>
        <w:pStyle w:val="3"/>
        <w:bidi w:val="0"/>
        <w:rPr>
          <w:rFonts w:hint="eastAsia" w:ascii="方正仿宋_GB2312" w:hAnsi="方正仿宋_GB2312" w:eastAsia="方正仿宋_GB2312" w:cs="方正仿宋_GB2312"/>
          <w:lang w:val="en-US" w:eastAsia="zh-CN"/>
        </w:rPr>
      </w:pPr>
      <w:bookmarkStart w:id="3" w:name="_Toc28579"/>
      <w:r>
        <w:rPr>
          <w:rFonts w:hint="eastAsia" w:ascii="方正仿宋_GB2312" w:hAnsi="方正仿宋_GB2312" w:eastAsia="方正仿宋_GB2312" w:cs="方正仿宋_GB2312"/>
          <w:lang w:val="en-US" w:eastAsia="zh-CN"/>
        </w:rPr>
        <w:t>东院区骨干网络建设</w:t>
      </w:r>
      <w:bookmarkEnd w:id="3"/>
    </w:p>
    <w:p w14:paraId="03213D60">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东院区骨干网络建设主要包括院内楼栋互联光纤管网建设，楼内光纤骨干建设和光纤入室后各有线点位的综合布线工作。</w:t>
      </w:r>
    </w:p>
    <w:p w14:paraId="55C54C76">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院内光网及终端综合布线工程为医院信息化建设的基础核心支撑，整体施工范围全面覆盖园区楼栋间骨干光纤管网建设、24芯单模骨干光缆敷设、楼栋垂直与水平光纤链路布设、房间双芯单模皮线光纤入室引入、室内弱电箱千兆光交换机安装调试、楼层至工位六类双绞线水平链路布设以及终端86型底盒、网络模块、面板安装等全部施工内容。项目整体采用“园区骨干全光传输+楼栋入室光电汇聚+桌面双绞线终端接入”的分层组网架构，能够充分满足医院HIS、EMR、LIS、PACS、移动护理、远程会诊、手术示教、医疗物联网设备等多业务、大带宽、低时延、高可靠的传输需求。本工程所有施工工序、工艺标准、材料选型、施工流程均严格遵照GB/T 50311-2023《综合布线系统工程设计规范》、GB/T 50312-2023《综合布线系统工程验收规范》、T/CECS 754-2021《智慧医院网络工程技术规程》及国家卫健委《全国医院信息化建设标准与规范（试行）》相关规定执行，全程按照医疗级网络建设标准精细化施工，有效规避电磁干扰、链路损耗、单点故障、传输不稳定等问题，保障全院网络系统长期安全、稳定、合规、可溯源运行，满足医院日常诊疗、应急救治及后期信息化升级扩容需求。</w:t>
      </w:r>
    </w:p>
    <w:p w14:paraId="7CB0E2E7">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园区骨干光网系统全部采用24芯G.652D标准单模室外光缆进行组网施工，为保障医院核心网络高可用性，全院楼栋之间弱电管网均采用物理双路由冗余建设模式，两条管道路由相互独立、路径分开，彻底规避单管网破损、检修、施工造成的整栋楼栋断网风险。管网施工过程中严格按照规范设置排水坡度，避免管井、管道内部积水长期浸泡光缆护套，针对园区主干道、消防通道、车辆通行重载路段，全部采用高强度防护管材进行加固处理，防止外力碾压、破损造成管网故障。骨干光缆全程采用人工匀速牵引方式敷设，严格控制光缆牵引张力与弯曲半径，施工过程杜绝拖拽、踩踏、弯折、暴力牵拉等不规范操作，有效防止纤芯产生微观损伤、隐性衰耗超标等质量隐患。在中心机房、各楼栋设备间、管网转角及进出建筑位置，按照规范标准预留足够光缆冗余长度，便于后期熔接施工、设备调试及运维检修。光缆成端后统一接入ODF配线架完成标准化熔接与配线，熔接工艺平整规范、损耗达标，所有纤芯、跳线、端口、路由均做清晰、统一的标识标签，建立完整的光缆芯数台账，对业务芯、备用芯、预留芯进行统一规划分配，预留充足冗余资源，满足未来5-10年医院网络扩容、科室改造、新业务上线的建设需求。楼栋内部接入层全部采用阻燃型双芯单模皮线光纤独立入室布设，每一间诊室、病房、医技功能室均单独布设一条入室光纤链路，实现单房间独享双纤资源，形成一主一备的室内光网冗余架构，有效保障医疗业务不间断运行。室内光纤敷设全程严控弯曲半径，禁止直角弯折、挤压压扁、吊顶悬空拉扯、管线硬折等违规施工方式，最大限度降低弯曲损耗，保证光链路传输质量稳定可靠。光纤入室后在房间弱电箱内规整盘留适量余量，做到收纳整齐、无挤压、无受力，弱电箱内部壁挂安装千兆光交换机设备，合理规划设备摆放位置、线缆走向及散热空间，保证设备通风散热良好、运行稳定，实现入室光信号可靠接入与光电转换，为室内多终端网络接入提供稳定的网络汇聚支撑。</w:t>
      </w:r>
    </w:p>
    <w:p w14:paraId="08506B59">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室内终端接入链路统一采用国标六类双绞线构建水平传输链路，针对手术室、ICU、急诊抢救室、放射科、超声心电、检验科室等精密医疗设备集中区域，全部采用六类屏蔽双绞线敷设，并严格执行单端接地工艺，保证屏蔽层完整连续，有效隔绝医疗设备高频电磁干扰、强电工频干扰，避免网络卡顿、丢包、数据异常、影像传输中断等问题；普通诊室、办公区域采用六类非屏蔽双绞线，在满足带宽性能的同时兼顾经济性。施工中严格执行综合布线链路长度规范，水平永久链路长度严格控制在90米以内，全程杜绝超长链路施工，从源头规避信号衰减超标、千兆降速、随机丢包等质量缺陷。布线施工严格落实强弱电隔离要求，网线与强电管线禁止同管、同槽、长距离平行敷设，保持规范安全间距，交叉位置采用垂直交叉方式布设，最大程度降低电磁耦合干扰。所有工位终端点位采用标准86型暗装底盒预埋安装，底盒预埋平整牢固、贴合墙面、无倾斜松动，盒内预留适量线缆余量，便于后期模块端接与维护更换。所有网络双绞线统一按照T568B国际标准进行模块端接，保证线序排列准确、线对分离规范、卡接紧实到位，杜绝虚压、断芯、错序、铜丝外露等常见施工质量问题，终端面板安装平整、贴合美观、卡扣牢固。整个终端布线施工过程中，全程做好线缆成品保护，避免交叉施工、装修施工造成线缆破损、移位、污染等问题，同步建立完整的点位台账、端口对应表、布线分布图，实现所有点位、链路、端口全程可查、可溯、可管理。通过标准化、精细化的终端布线工艺，全面保障院内桌面终端、医疗设备终端网络传输稳定、抗干扰能力强、故障率低，充分适配医院常态化诊疗工作、智慧医疗业务运行及长期运维管理需求。</w:t>
      </w:r>
    </w:p>
    <w:p w14:paraId="5FCA6678">
      <w:pPr>
        <w:pStyle w:val="3"/>
        <w:bidi w:val="0"/>
        <w:rPr>
          <w:rFonts w:hint="eastAsia" w:ascii="方正仿宋_GB2312" w:hAnsi="方正仿宋_GB2312" w:eastAsia="方正仿宋_GB2312" w:cs="方正仿宋_GB2312"/>
          <w:lang w:val="en-US" w:eastAsia="zh-CN"/>
        </w:rPr>
      </w:pPr>
      <w:bookmarkStart w:id="4" w:name="_Toc3268"/>
      <w:r>
        <w:rPr>
          <w:rFonts w:hint="eastAsia" w:ascii="方正仿宋_GB2312" w:hAnsi="方正仿宋_GB2312" w:eastAsia="方正仿宋_GB2312" w:cs="方正仿宋_GB2312"/>
          <w:lang w:val="en-US" w:eastAsia="zh-CN"/>
        </w:rPr>
        <w:t>东院区有线网络升级</w:t>
      </w:r>
      <w:bookmarkEnd w:id="4"/>
    </w:p>
    <w:p w14:paraId="620D0A8A">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东院区的有线网络升级采用整体替换升级方案，将医院现有的交换机、链路全部进行拆除，重新设计安装一套全光有线网络。</w:t>
      </w:r>
    </w:p>
    <w:p w14:paraId="0348C152">
      <w:pPr>
        <w:widowControl w:val="0"/>
        <w:numPr>
          <w:ilvl w:val="0"/>
          <w:numId w:val="0"/>
        </w:numPr>
        <w:ind w:firstLine="560" w:firstLineChars="200"/>
        <w:jc w:val="both"/>
        <w:rPr>
          <w:rFonts w:hint="default"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本次全光网络建设范围包括一号楼1-5楼（病房除外）、二号楼1-3楼（病房除外）、三号楼1-3楼（病房除外）、门诊楼1-3楼、两个康复大厅、药房和其他零星区域。</w:t>
      </w:r>
    </w:p>
    <w:p w14:paraId="32D16F0F">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从网络结构上来看，本次方案将网络分为核心层、汇聚层和接入层。将各楼栋的汇聚层设备替换为无源透明汇聚设备，实现楼栋的主干核心机房的端口数量和房间数量1：16配比，把楼宇汇聚交换机的光端口，通过CWDM技术，物理隔离在不同的光传输通道，直接将光通道信号一对一地打通到每一个房间，实现光纤资源收敛，无分光器，双工同步收发，独享模式的光纤入室，房间内放置小型化无风扇静音接入交换机负责接入层的终端接入。</w:t>
      </w:r>
    </w:p>
    <w:p w14:paraId="6B20553F">
      <w:pPr>
        <w:widowControl w:val="0"/>
        <w:numPr>
          <w:ilvl w:val="0"/>
          <w:numId w:val="0"/>
        </w:numPr>
        <w:ind w:firstLine="560" w:firstLineChars="200"/>
        <w:jc w:val="both"/>
        <w:rPr>
          <w:rFonts w:hint="eastAsia" w:ascii="方正仿宋_GB2312" w:hAnsi="方正仿宋_GB2312" w:eastAsia="方正仿宋_GB2312" w:cs="方正仿宋_GB2312"/>
          <w:sz w:val="24"/>
          <w:szCs w:val="28"/>
        </w:rPr>
      </w:pPr>
      <w:r>
        <w:rPr>
          <w:rFonts w:hint="eastAsia" w:ascii="方正仿宋_GB2312" w:hAnsi="方正仿宋_GB2312" w:eastAsia="方正仿宋_GB2312" w:cs="方正仿宋_GB2312"/>
          <w:sz w:val="28"/>
          <w:szCs w:val="28"/>
          <w:lang w:val="en-US" w:eastAsia="zh-CN"/>
        </w:rPr>
        <w:t>围绕目前网络的配置及架构设计，内网和外网通过光纤优先进行数据传输，并基于接入——透明汇聚——核心的方式来进行独立建设，详细描述如下：</w:t>
      </w:r>
    </w:p>
    <w:p w14:paraId="7CE68C5A">
      <w:pPr>
        <w:widowControl w:val="0"/>
        <w:numPr>
          <w:ilvl w:val="0"/>
          <w:numId w:val="0"/>
        </w:numPr>
        <w:ind w:firstLine="562" w:firstLineChars="200"/>
        <w:jc w:val="both"/>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核心层设计：</w:t>
      </w:r>
    </w:p>
    <w:p w14:paraId="0487B75C">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核心层采用模块化核心交换机，在交换机上配置足够数量的40G光模块连接各楼栋的汇聚层设备，同时核心交换机上配置满足机房设备接入的千兆电口和千兆光口。</w:t>
      </w:r>
    </w:p>
    <w:p w14:paraId="2066F301">
      <w:pPr>
        <w:widowControl w:val="0"/>
        <w:numPr>
          <w:ilvl w:val="0"/>
          <w:numId w:val="0"/>
        </w:numPr>
        <w:ind w:firstLine="562" w:firstLineChars="200"/>
        <w:jc w:val="both"/>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汇聚层设计：</w:t>
      </w:r>
    </w:p>
    <w:p w14:paraId="402F201B">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汇聚层是楼栋接入总节点，提供从业务层到接入层的“纵向”流量。对接入层隐藏核心层，将大量用户接入到互联的网络中，扩展核心层设备接入用户的数量。</w:t>
      </w:r>
    </w:p>
    <w:p w14:paraId="6AEF7FBA">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汇聚层需要支持双链路到核心层，具备收敛接入层设备链路，减少主干光纤，接入层设备需要做到安全可靠，减少维护，极简以太全光汇聚层采用无源透明汇聚，免取电，免运维，采用波分技术1分16，分光不分带宽。</w:t>
      </w:r>
    </w:p>
    <w:p w14:paraId="0103ED33">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透明汇聚采用模块化部署，按场景部署，同时支持双上行。</w:t>
      </w:r>
    </w:p>
    <w:p w14:paraId="0EAF5CED">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在极简光架构中，汇聚机房需要承载较高的光纤资源，实现和房间数量1:1配比。通过大对数单模光缆，连接汇聚机房和各个楼层弱电间，最终根据每个楼层弱电间实际使用的端口数量，连接对应的光纤链路。</w:t>
      </w:r>
    </w:p>
    <w:p w14:paraId="40C99544">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透明汇聚采用模块化部署，按场景部署，同时支持双上行。</w:t>
      </w:r>
    </w:p>
    <w:p w14:paraId="27BA09E4">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在架构中，汇聚机房需要承载教高的光纤资源，实现和房间数量1:1配比。通过大对数单模光缆，连接汇聚机房和各个楼层弱电间，最终根据每个楼层弱电间实际使用的端口数量，连接对应的光纤链路。</w:t>
      </w:r>
    </w:p>
    <w:p w14:paraId="3EACC4EF">
      <w:pPr>
        <w:widowControl w:val="0"/>
        <w:numPr>
          <w:ilvl w:val="0"/>
          <w:numId w:val="0"/>
        </w:numPr>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b/>
          <w:bCs/>
          <w:sz w:val="28"/>
          <w:szCs w:val="28"/>
          <w:lang w:val="en-US" w:eastAsia="zh-CN"/>
        </w:rPr>
        <w:t>接入层设计：</w:t>
      </w:r>
    </w:p>
    <w:p w14:paraId="3481D563">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在架构中，通过全光布线，实现光纤入室，房间内放置小型化交换机作为网络接入层设备。</w:t>
      </w:r>
    </w:p>
    <w:p w14:paraId="1527E415">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在房间里增加多媒体箱，敷设多媒体箱到信息点的布线（网线），将房间内的各信息接入点集中连接到光交换机中。以太全光网入室交换机具备独立交换芯片，可靠安全。</w:t>
      </w:r>
    </w:p>
    <w:p w14:paraId="51969927">
      <w:pPr>
        <w:pStyle w:val="3"/>
        <w:bidi w:val="0"/>
        <w:rPr>
          <w:rFonts w:hint="eastAsia" w:ascii="方正仿宋_GB2312" w:hAnsi="方正仿宋_GB2312" w:eastAsia="方正仿宋_GB2312" w:cs="方正仿宋_GB2312"/>
          <w:lang w:val="en-US" w:eastAsia="zh-CN"/>
        </w:rPr>
      </w:pPr>
      <w:bookmarkStart w:id="5" w:name="_Toc21524"/>
      <w:r>
        <w:rPr>
          <w:rFonts w:hint="eastAsia" w:ascii="方正仿宋_GB2312" w:hAnsi="方正仿宋_GB2312" w:eastAsia="方正仿宋_GB2312" w:cs="方正仿宋_GB2312"/>
          <w:lang w:val="en-US" w:eastAsia="zh-CN"/>
        </w:rPr>
        <w:t>东院区无线网络建设</w:t>
      </w:r>
      <w:bookmarkEnd w:id="5"/>
    </w:p>
    <w:p w14:paraId="432D9AF5">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东院区无线网络建设为全新建设，无线覆盖范围包括一号楼1-5楼、二号楼1-3楼、三号楼1-3楼、门诊楼1-3楼、两个康复大厅、药房和其他零星区域。</w:t>
      </w:r>
    </w:p>
    <w:p w14:paraId="53669BCD">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在建设方案上，住院病区采用零漫游AP方案覆盖，公共区域采用放装AP方案覆盖，手术室和ICU区域采用冗余放装AP方案覆盖。</w:t>
      </w:r>
    </w:p>
    <w:p w14:paraId="2DF5F4FE">
      <w:pPr>
        <w:pStyle w:val="3"/>
        <w:bidi w:val="0"/>
        <w:rPr>
          <w:rFonts w:hint="eastAsia" w:ascii="方正仿宋_GB2312" w:hAnsi="方正仿宋_GB2312" w:eastAsia="方正仿宋_GB2312" w:cs="方正仿宋_GB2312"/>
          <w:lang w:val="en-US" w:eastAsia="zh-CN"/>
        </w:rPr>
      </w:pPr>
      <w:bookmarkStart w:id="6" w:name="_Toc21175"/>
      <w:r>
        <w:rPr>
          <w:rFonts w:hint="eastAsia" w:ascii="方正仿宋_GB2312" w:hAnsi="方正仿宋_GB2312" w:eastAsia="方正仿宋_GB2312" w:cs="方正仿宋_GB2312"/>
          <w:lang w:val="en-US" w:eastAsia="zh-CN"/>
        </w:rPr>
        <w:t>整体网络运维管理建设</w:t>
      </w:r>
      <w:bookmarkEnd w:id="6"/>
    </w:p>
    <w:p w14:paraId="008293EA">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整体网络运维管理主要分为两个平台，分别是网络管理平台和认证管理平台，这两个平台分别部署在西院区中心机房和东院区中心机房中，两个院区的管理平台能够实现统一的监控和管理，两个平台需实现的主要功能如下。</w:t>
      </w:r>
    </w:p>
    <w:p w14:paraId="3E973031">
      <w:pPr>
        <w:widowControl w:val="0"/>
        <w:numPr>
          <w:ilvl w:val="0"/>
          <w:numId w:val="0"/>
        </w:numPr>
        <w:jc w:val="both"/>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1、网络管理平台</w:t>
      </w:r>
    </w:p>
    <w:p w14:paraId="143D2A21">
      <w:pPr>
        <w:widowControl w:val="0"/>
        <w:numPr>
          <w:ilvl w:val="0"/>
          <w:numId w:val="0"/>
        </w:numPr>
        <w:ind w:firstLine="560" w:firstLineChars="200"/>
        <w:jc w:val="both"/>
        <w:rPr>
          <w:rFonts w:hint="default"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建设统一网络中心管控分析平台，作为网络数字化运维核心载体，可实现全网资源一体化、自动化、可视化全生命周期管理，全面覆盖园区、分支等多网络场景的运维管控需求。平台具备全网融合统一管控能力，可整合有线、无线、LAN、WAN网络资源，兼容多厂商异构网络设备，打破传统网络管理系统割裂问题，实现全网网元、终端、业务的集中纳管与统一调度。依托模块化组网与克隆部署能力，平台支持标准化模板快速开局，能够实现多园区网络批量复制部署，大幅简化网络搭建流程，提升整体组网部署效率。平台搭载智能化策略管理体系，支持基于业务流程自动下发网络访问策略，实现用户移动接入无感知策略适配，同时具备空闲、临期、过期策略自动检测与回收功能，清理无效僵尸策略，完成网络策略全生命周期规范化管控。此外，平台集成全链路智能监测与分析功能，可实时监控全网设备运行状态、链路质量与终端业务体验，精准捕捉网络异常，实现故障分钟级定位与快速溯源，搭配精细化告警、配置集中备份与秒级逃生能力，全方位保障关键业务稳定运行。同时平台融合准入管控、网络运维、体验优化、日志审计等多功能模块，依托可视化运维界面，实现全网状态可视、业务可控、故障可溯，以自动化、智能化能力替代传统人工运维，全面覆盖大中型网络的日常运维、策略管控、故障处置与业务保障等核心工作。同时预留与光华院区网络管理平台的对接接口，支持未来三院区统一纳管与策略同步。平台支持国产化信创环境适配，兼容主流国产芯片与操作系统。</w:t>
      </w:r>
    </w:p>
    <w:p w14:paraId="15206015">
      <w:pPr>
        <w:widowControl w:val="0"/>
        <w:numPr>
          <w:ilvl w:val="0"/>
          <w:numId w:val="0"/>
        </w:numPr>
        <w:jc w:val="both"/>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2、认证管理平台</w:t>
      </w:r>
    </w:p>
    <w:p w14:paraId="6C513B6F">
      <w:pPr>
        <w:widowControl w:val="0"/>
        <w:numPr>
          <w:ilvl w:val="0"/>
          <w:numId w:val="0"/>
        </w:numPr>
        <w:ind w:firstLine="560" w:firstLineChars="200"/>
        <w:jc w:val="both"/>
        <w:rPr>
          <w:rFonts w:hint="default"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构建一个以身份为核心的全网智能准入与终端安全管理平台，集成全网感知、身份认证、准入管控、终端治理、安全联动、合规审计等多项核心能力，可实现园区网络全场景、全终端、全流程的统一管理。平台具备高效的全网终端自动发现能力，能够实时探测全网有线、无线各类接入设备，通过AI智能指纹识别技术精准区分办公终端、移动终端、物联网设备、哑终端等各类设备类型，自动完成资产识别、分类建档、接入轨迹记录与IP资源全生命周期管理，实现全网终端资产可视、可查、可管。在接入认证与准入控制层面，平台融合802.1X、网页认证、VPN接入等多种认证方式，支持人员、设备双重实名准入，可基于用户身份、终端类型、接入区域、终端合规状态细化网络访问策略，对非法终端、不合规终端进行自动隔离、限制上网，实现精细化网络准入管控。平台支持无客户端无感知准入部署模式，无需终端安装代理软件，适配各类复杂终端场景，大幅提升网络接入适配性。同时，平台可与交换机、无线AC等网络设备深度联动，实现端口级策略下发、动态权限调整与全网安全协同防御，配套完善的网络运维审计能力，可完成网络设备认证、操作命令审计、日志集中留存与行为追溯。平台采用微服务架构，支持集群部署与负载均衡，具备高稳定性与强扩展性，可支撑十万级终端规模管理，能够全面覆盖医院的网络管理需求，一站式实现内网终端规范化、接入安全化、运维智能化管理。同时预留未来与光华院区认证管理平台的对接能力，确保三院区终端策略统一、身份信息互通、审计日志汇聚，为后续构建全域统一身份中台奠定坚实基础。</w:t>
      </w:r>
      <w:r>
        <w:rPr>
          <w:rFonts w:hint="eastAsia" w:ascii="方正仿宋_GB2312" w:hAnsi="方正仿宋_GB2312" w:eastAsia="方正仿宋_GB2312" w:cs="方正仿宋_GB2312"/>
          <w:sz w:val="28"/>
          <w:szCs w:val="28"/>
          <w:lang w:val="en-US" w:eastAsia="zh-CN"/>
        </w:rPr>
        <w:tab/>
      </w:r>
    </w:p>
    <w:p w14:paraId="1B90FA72">
      <w:pPr>
        <w:pStyle w:val="2"/>
        <w:bidi w:val="0"/>
        <w:rPr>
          <w:rFonts w:hint="eastAsia"/>
          <w:lang w:val="en-US" w:eastAsia="zh-CN"/>
        </w:rPr>
      </w:pPr>
      <w:r>
        <w:rPr>
          <w:rFonts w:hint="eastAsia"/>
          <w:lang w:val="en-US" w:eastAsia="zh-CN"/>
        </w:rPr>
        <w:t>设备清单</w:t>
      </w:r>
    </w:p>
    <w:p w14:paraId="4DBC1F05">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该清单数量仅为参考数量，各供应商可根据实际勘察情况调整设备数量。但调整后的清单在技术指标和功能实现上不能低于现有清单要求，无线覆盖范围需满足调研文件中的要求</w:t>
      </w:r>
    </w:p>
    <w:tbl>
      <w:tblPr>
        <w:tblStyle w:val="4"/>
        <w:tblW w:w="517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2"/>
        <w:gridCol w:w="1327"/>
        <w:gridCol w:w="5034"/>
        <w:gridCol w:w="816"/>
        <w:gridCol w:w="766"/>
      </w:tblGrid>
      <w:tr w14:paraId="7CEA5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F1F1F1"/>
            <w:vAlign w:val="center"/>
          </w:tcPr>
          <w:p w14:paraId="42BAC30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序号</w:t>
            </w:r>
          </w:p>
        </w:tc>
        <w:tc>
          <w:tcPr>
            <w:tcW w:w="752" w:type="pct"/>
            <w:tcBorders>
              <w:top w:val="single" w:color="000000" w:sz="4" w:space="0"/>
              <w:left w:val="single" w:color="000000" w:sz="4" w:space="0"/>
              <w:bottom w:val="single" w:color="000000" w:sz="4" w:space="0"/>
              <w:right w:val="single" w:color="000000" w:sz="4" w:space="0"/>
            </w:tcBorders>
            <w:shd w:val="clear" w:color="auto" w:fill="F1F1F1"/>
            <w:vAlign w:val="center"/>
          </w:tcPr>
          <w:p w14:paraId="1D2540A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名称</w:t>
            </w:r>
          </w:p>
        </w:tc>
        <w:tc>
          <w:tcPr>
            <w:tcW w:w="2854" w:type="pct"/>
            <w:tcBorders>
              <w:top w:val="single" w:color="000000" w:sz="4" w:space="0"/>
              <w:left w:val="single" w:color="000000" w:sz="4" w:space="0"/>
              <w:bottom w:val="single" w:color="000000" w:sz="4" w:space="0"/>
              <w:right w:val="single" w:color="000000" w:sz="4" w:space="0"/>
            </w:tcBorders>
            <w:shd w:val="clear" w:color="auto" w:fill="F1F1F1"/>
            <w:vAlign w:val="center"/>
          </w:tcPr>
          <w:p w14:paraId="3393E01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参数要求</w:t>
            </w:r>
          </w:p>
        </w:tc>
        <w:tc>
          <w:tcPr>
            <w:tcW w:w="462" w:type="pct"/>
            <w:tcBorders>
              <w:top w:val="single" w:color="000000" w:sz="4" w:space="0"/>
              <w:left w:val="single" w:color="000000" w:sz="4" w:space="0"/>
              <w:bottom w:val="single" w:color="000000" w:sz="4" w:space="0"/>
              <w:right w:val="single" w:color="000000" w:sz="4" w:space="0"/>
            </w:tcBorders>
            <w:shd w:val="clear" w:color="auto" w:fill="F1F1F1"/>
            <w:vAlign w:val="center"/>
          </w:tcPr>
          <w:p w14:paraId="4B000FF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数量</w:t>
            </w:r>
          </w:p>
        </w:tc>
        <w:tc>
          <w:tcPr>
            <w:tcW w:w="434" w:type="pct"/>
            <w:tcBorders>
              <w:top w:val="single" w:color="000000" w:sz="4" w:space="0"/>
              <w:left w:val="single" w:color="000000" w:sz="4" w:space="0"/>
              <w:bottom w:val="single" w:color="000000" w:sz="4" w:space="0"/>
              <w:right w:val="single" w:color="000000" w:sz="4" w:space="0"/>
            </w:tcBorders>
            <w:shd w:val="clear" w:color="auto" w:fill="F1F1F1"/>
            <w:vAlign w:val="center"/>
          </w:tcPr>
          <w:p w14:paraId="455AD5D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单位</w:t>
            </w:r>
          </w:p>
        </w:tc>
      </w:tr>
      <w:tr w14:paraId="16375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A630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A2C5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WIFI7放装型无线接入点</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D7C0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所有射频卡均支持802.11be标准，向下兼容802.11ax、802.11ac Wave2、802.11ac Wave1和802.11n协议；</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采用三射频设计， 整机空间流≥6条，整机最大接入速率≥3.57Gbps，配置1个2.5G以太网电口，配置1个2.5G以太网光口，</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配置蓝牙5.3功能并支持蓝牙串口维护。</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AE69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54</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1F24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台</w:t>
            </w:r>
          </w:p>
        </w:tc>
      </w:tr>
      <w:tr w14:paraId="083BC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A891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8F5B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WIFI7零漫游无线接入点</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87E2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整机最大无线接入速率≥5.9Gbps，支持IEEE802.11a/b/g/n/ac/ax/be协议，支持内网和外网无线网络物理隔离；配置≥3个千兆电口，≥2个2.5GE 光口，≥1个千兆电口，支持对物联网单元供电；</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配置1 个标准 Mini PCI-e 扩展卡插槽，可扩展物联网应用。配置≥8个QMA型射频接口。</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支持物联网扩展应用，支持并配置内置标准Mini PCI-e扩展卡和外置PSE对物联网单元供电方式；</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设备的2.4GHz或5GHz无线信号可实现单一病区内零漫游、零切换。</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接入点需配置能够无缝覆盖整个病区无线天线、信号馈线等配件。</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23D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94</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184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套</w:t>
            </w:r>
          </w:p>
        </w:tc>
      </w:tr>
      <w:tr w14:paraId="6C0F1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184B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3</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DE2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WIFI7面板型无线接入点</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EA10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面板型AP，支持嵌入86面板安装方式， 支持802.11be标准，采用双射频设计，；</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整机空间流≥4条，整机最大接入速率≥3.57Gbps，5GHz单射频支持2*2 MIMO，且单射频最大接入速率≥2.88Gbps；</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2.5G以太网电口上联口≥1个，1G以太网电口下联口≥4个</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内置蓝牙5.3；</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支持1对Passthough透传口。</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44DB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28</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2D69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台</w:t>
            </w:r>
          </w:p>
        </w:tc>
      </w:tr>
      <w:tr w14:paraId="1E4D8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0AF6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4</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B203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4口千兆接入交换机</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3121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固化10/100/1000M以太网电口≥4个，1G/2.5G SFP光接口≥1个，配置1个千兆单模光模块</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交换容量≥430Gbps，包转发率≥70Mpps</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采用静音无风扇设计，产品底座采用金属设计并具备散热孔，增强散热</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支持光模块可插拔可替换，降低维护成本</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支持直接安装部署在86*86盒底座上，设备底座支持冗余光纤绕盘，电源线与接口处有防碰防踹设计</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支持本地适配器供电，支持POF集中供电 ，支持TypeC取电</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当室内交换机出现故障，替换用的新设备支持智能零替换。支持自适应不同型号间的设备替换，以及替换后新设备支持终端在任意端口接入，并且终端在原有设备接入端口的配置可自动跟随到新设备端口；</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支持光模块与光链路运维检测与故障告警，并可在拓扑中呈现并查看详细信息，包括提供告警原因分析与处理建议；</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16C6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40</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5C5D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台</w:t>
            </w:r>
          </w:p>
        </w:tc>
      </w:tr>
      <w:tr w14:paraId="00744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40D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5</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5AAD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4口千兆POE交换机</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4ED4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配置10/100/1000M以太网电口≥4个，1G/2.5G/10G光接口≥1个，配置1个千兆单模光模块，支持POE和POE+远程供电，POE供电功率为45W，Console口≥1个；</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交换容量≥6.72Tbps，包转发率≥126Mpps；</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设备采用无风扇静音设计和金属外壳与金属网口设计，具备VLAN技术和生成树技术；</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当室内交换机出现故障，替换用的新设备支持智能零替换。支持自适应不同型号间的设备替换，以及替换后新设备支持终端在任意端口接入，并且终端在原有设备接入端口的配置可自动跟随到新设备端口；</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支持光模块与光链路运维检测与故障告警，并可在拓扑中呈现并查看详细信息，包括提供告警原因分析与处理建议；</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3C81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3</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9CCC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台</w:t>
            </w:r>
          </w:p>
        </w:tc>
      </w:tr>
      <w:tr w14:paraId="2ACB0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F42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6</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D836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8口千兆接入交换机</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0F0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配置10/100/1000M以太网电口≥8个，1G/2.5G/10G光接口≥1个，配置1个千兆单模光模块，Console口≥1个；</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交换容量≥600Gbps，包转发率≥120Mpps；</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当室内交换机出现故障，替换用的新设备支持智能零替换。支持自适应不同型号间的设备替换，以及替换后新设备支持终端在任意端口接入，并且终端在原有设备接入端口的配置可自动跟随到新设备端口；</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支持光模块与光链路运维检测与故障告警，并可在拓扑中呈现并查看详细信息，包括提供告警原因分析与处理建议；</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4DAD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18</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7F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台</w:t>
            </w:r>
          </w:p>
        </w:tc>
      </w:tr>
      <w:tr w14:paraId="1F91B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C7D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7</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28A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8口千兆POE交换机</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F5F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配置10/100/1000M以太网电口≥8个，1G/2.5G/10G光接口≥1个，配置1个千兆单模光模块，支持POE和POE+远程供电，POE供电功率至少125W，Console口≥1个；</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交换容量≥600Gbps，包转发率≥120Mpps；</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当室内交换机出现故障，替换用的新设备支持智能零替换。支持自适应不同型号间的设备替换，以及替换后新设备支持终端在任意端口接入，并且终端在原有设备接入端口的配置可自动跟随到新设备端口；</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支持光模块与光链路运维检测与故障告警，并可在拓扑中呈现并查看详细信息，包括提供告警原因分析与处理建议；</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72B1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13</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446F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台</w:t>
            </w:r>
          </w:p>
        </w:tc>
      </w:tr>
      <w:tr w14:paraId="67796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5B3F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8</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26C5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12口千兆接入交换机</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9ABF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配置10/100/1000M以太网电口≥12个，1G/10G光接口≥1个，配置1个千兆单模光模块；</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交换容量≥4.32Tbps，包转发率≥126Mpps；</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当室内交换机出现故障，替换用的新设备支持智能零替换。支持自适应不同型号间的设备替换，以及替换后新设备支持终端在任意端口接入，并且终端在原有设备接入端口的配置可自动跟随到新设备端口；</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支持光模块与光链路运维检测与故障告警，并可在拓扑中呈现并查看详细信息，包括提供告警原因分析与处理建议；</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4E9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FA3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台</w:t>
            </w:r>
          </w:p>
        </w:tc>
      </w:tr>
      <w:tr w14:paraId="214A4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266B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9</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6BE5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24口千兆接入交换机</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F995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交换容量≥598Gbps，转发性能≥120M。</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固化10/100/1000M以太网端口≥24个，1G SFP光接口≥4个，配置2个千兆单模光模块。</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设备MAC地址≥16K</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支持IPv4和IPv6的静态路由、RIP/RIPng、OSPFv2/OSPFv3等三层路由协议，</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当室内交换机出现故障，替换用的新设备支持智能零替换。支持自适应不同型号间的设备替换，以及替换后新设备支持终端在任意端口接入，并且终端在原有设备接入端口的配置可自动跟随到新设备端口；</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支持光模块与光链路运维检测与故障告警，并可在拓扑中呈现并查看详细信息，包括提供告警原因分析与处理建议；</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51F0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43</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4218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台</w:t>
            </w:r>
          </w:p>
        </w:tc>
      </w:tr>
      <w:tr w14:paraId="4D658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9682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10</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76C8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48口千兆接入交换机</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4785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交换容量≥598Gbps，转发性能≥160M；</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固化10/100/1000M以太网端口≥48个，1G/10G SFP光接口≥4个，配置2个千兆单模光模块。</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设备MAC地址≥16K</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支持IPv4和IPv6的静态路由、RIP/RIPng、OSPFv2/OSPFv3等三层路由协议，</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当室内交换机出现故障，替换用的新设备支持智能零替换。支持自适应不同型号间的设备替换，以及替换后新设备支持终端在任意端口接入，并且终端在原有设备接入端口的配置可自动跟随到新设备端口；</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支持光模块与光链路运维检测与故障告警，并可在拓扑中呈现并查看详细信息，包括提供告警原因分析与处理建议；</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89AB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50</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8189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台</w:t>
            </w:r>
          </w:p>
        </w:tc>
      </w:tr>
      <w:tr w14:paraId="43DE5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52A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11</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3D4E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24口千兆POE交换机</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6B1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交换容量≥590Gbps，转发性能≥120M</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固化10/100/1000M以太网端口≥24个，1G SFP光接口≥4个，配置2个千兆单模光模块。 ≥24个电口支持POE和POE+远程供电，整机POE功率输出≥370W；</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设备MAC地址≥16K</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支持IPv4和IPv6的静态路由、RIP/RIPng、OSPFv2/OSPFv3等三层路由协议，</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当室内交换机出现故障，替换用的新设备支持智能零替换。支持自适应不同型号间的设备替换，以及替换后新设备支持终端在任意端口接入，并且终端在原有设备接入端口的配置可自动跟随到新设备端口；</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支持光模块与光链路运维检测与故障告警，并可在拓扑中呈现并查看详细信息，包括提供告警原因分析与处理建议；</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213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33</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FCD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台</w:t>
            </w:r>
          </w:p>
        </w:tc>
      </w:tr>
      <w:tr w14:paraId="0CDFE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7770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12</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40BF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全万兆接入交换机</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CE87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支持并实配10G/2.5G/1G接口数≥20，25G/10G接口数量≥4，40G接口数≥2，配置20个万兆多模光模块。2个40G单模光模块，整机可扩展支持10G接口数≥32。</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支持并实配可拔插双模块化电源，可拔插双模块化风扇，前后风道。</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交换容量≥2.5Tbps，包转发率≥570Mpps。</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当室内交换机出现故障，替换用的新设备支持智能零替换。支持自适应不同型号间的设备替换，以及替换后新设备支持终端在任意端口接入，并且终端在原有设备接入端口的配置可自动跟随到新设备端口；</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支持光模块与光链路运维检测与故障告警，并可在拓扑中呈现并查看详细信息，包括提供告警原因分析与处理建议；</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EAF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D1F5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台</w:t>
            </w:r>
          </w:p>
        </w:tc>
      </w:tr>
      <w:tr w14:paraId="6627D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9A9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13</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AB22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24口全光汇聚交换机</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2B8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交换容量≥2.4Tbps，包转发率≥660Mpps。</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固化1000M SFP光接口≥24个，复用的10/100/1000M电口≥8个，1G/10G SFP+光口≥8个，配置20个千兆单模光模块，4个万兆单模光模块；</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支持2个模块化电源插槽，设备可提供业务扩展槽≥1个，可支持同时扩展4个10G和2个100G端口。</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当室内交换机出现故障，替换用的新设备支持智能零替换。支持自适应不同型号间的设备替换，以及替换后新设备支持终端在任意端口接入，并且终端在原有设备接入端口的配置可自动跟随到新设备端口；</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支持光模块与光链路运维检测与故障告警，并可在拓扑中呈现并查看详细信息，包括提供告警原因分析与处理建议；</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3142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31F3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台</w:t>
            </w:r>
          </w:p>
        </w:tc>
      </w:tr>
      <w:tr w14:paraId="06F81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24F5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14</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30C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模块化汇聚交换机</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87F1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交换容量≥51Tbps，包转发率≥38400Mpps。</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主控引擎与业务板卡完全物理分离, 采用全分布式转发处理架构，独立主控引擎插槽≥2个，独立业务插槽数≥3个；</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支持静态路由、RIP、RIPng、OSPF、OSPFv3、BGP、BGP4+、ISIS、ISISv6，支持路由协议多实例，支持GR for OSPF/IS-IS/BGP，支持策略路由。</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支持IGMPv1/v2/v3、IGMP Snooping 、PIM DM、PIM SM、PIM SSM；支持组播流量控制、支持组播查询器。</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单台配置≥2个引擎、≥2个电源，配置千兆电口≥24个、千兆光口≥56个、万兆光口≥8个,配置40个千兆单模光模块,4个万兆多模光模块。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41F5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5A4A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台</w:t>
            </w:r>
          </w:p>
        </w:tc>
      </w:tr>
      <w:tr w14:paraId="6C061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5B28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15</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E2C4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16口光汇聚模块</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3EE5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具备光纤汇聚功能，基于波分复用技术实现对光纤进行1：16收敛，可以实现上下行带宽对称，至少支持1G、2.5G、10G带宽的光纤的收敛；</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汇聚设备需支持集中机柜安装、壁挂等安装方式，汇聚设备插入损耗≤4dB；</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汇聚器件完全无源，无需插电即可正常工作；</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传输距离≥10KM，接口形态单模单芯；</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配置汇聚器所需的机架安装组件</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1063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6</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035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台</w:t>
            </w:r>
          </w:p>
        </w:tc>
      </w:tr>
      <w:tr w14:paraId="7A122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3C18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16</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7BC5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模块化核心交换机</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41D0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交换容量≥102Tbps， 包转发率≥76800Mpps。</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主控引擎与业务板卡完全物理分离, 采用全分布式转发处理架构，独立主控引擎插槽≥2个，独立业务插槽数≥6个；</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支持静态路由、RIP、RIPng、OSPF、OSPFv3、BGP、BGP4+、ISIS、ISISv6，支持路由协议多实例，支持GR for OSPF/IS-IS/BGP，支持策略路由。</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支持IGMPv1/v2/v3、IGMP Snooping 、PIM DM、PIM SM、PIM SSM；支持组播流量控制、支持组播查询器。</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单台配置≥2个引擎、≥2个电源，配置千兆电口、千兆光口≥32个、万兆光口≥8个、40G光口≥8个，配置20个千兆单模光模块，4个万兆多模光模块，6个40G单模光模块。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E481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37A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台</w:t>
            </w:r>
          </w:p>
        </w:tc>
      </w:tr>
      <w:tr w14:paraId="14314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DA69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17</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24ED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西区无线控制器</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3309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配置千兆电口≥10个，千兆光口≥2个，万兆光口≥2个，Console接口1个，USB3.0接口≥2个。</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802.11转发性能≥10G，最大可支持管理1024个AP，配置本项目AP所需要管理授权。</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支持AP虚拟化功能，实现一台AP虚拟为多台AP，分别受不同AC设备独立管理，互不影响。</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无线控制器具备虚拟化功能，多台无线控制器可以被虚拟化成一台控制器，实现虚拟控制器对所有成员AC的统一管理。</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 802.11R快速漫游，提升漫游体验。</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无线控制器具备AP逃生功能，当在AC不可达造成AP离线时，离线的AP能够继续维持已经接入的终端保持业务正常，提升无线网络的可靠性。</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支持实时频谱防护,可视化射频干扰源对无线局域网的性能的影响。</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D386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1FB7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台</w:t>
            </w:r>
          </w:p>
        </w:tc>
      </w:tr>
      <w:tr w14:paraId="4FD7C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D7C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18</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0C5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东区无线控制器</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3D12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配置千兆电口≥10个，千兆光口≥2个，万兆光口≥2个，Console接口1个，USB3.0接口≥2个。</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802.11转发性能≥10G，最大可支持管理1024个AP，配置本项目AP所需要管理授权。</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支持AP虚拟化功能，实现一台AP虚拟为多台AP，分别受不同AC设备独立管理，互不影响。</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无线控制器具备虚拟化功能，多台无线控制器可以被虚拟化成一台控制器，实现虚拟控制器对所有成员AC的统一管理。</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 802.11R快速漫游，提升漫游体验。</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无线控制器具备AP逃生功能，当在AC不可达造成AP离线时，离线的AP能够继续维持已经接入的终端保持业务正常，提升无线网络的可靠性。</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支持实时频谱防护,可视化射频干扰源对无线局域网的性能的影响。</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4DC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9F9A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台</w:t>
            </w:r>
          </w:p>
        </w:tc>
      </w:tr>
      <w:tr w14:paraId="6E7AE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88C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19</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EBD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网络管理平台</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968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采用纯B/S架构，支持主备冗余部署，支持部署在Ubuntu 24.04、国产麒麟 Kylin V10 SP3等操作系统，支持主流浏览器及对应的版本，如chrome 93及以上版本、Firefox94等；</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支持多种设备的管理，包括交换机、路由器、防火墙、无线AC/A，可最大支持≥5000台网元以及≥35000瘦AP一体化管理；</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支持4/5G路由SIM卡监控，包括端口、SIM卡拨号状态、网络信息、链路类型、国家地区等基础信息，同时可监控IPSec隧道和VPDN隧道状态；</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支持呈现网元设备的CPU、内存运行状态；支持呈现关键设备的端口速率趋势；可展示端口类型、接口名、接口类型、接口描述、流量、速率、MTU、VLAN等状态信息；</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支持在无线控制器查看在线AP数量、离线AP数量、AP设备名称、设备MAC、设备IP、设备位置、AP Group组、设备型号、在线时长、离线时长等状态信息，可呈现无线用户趋势图包括当前用户、峰值用户等状态信息；</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建立用户视角监控设备，支持自定义创建网络拓扑，可以在拓扑上呈现：环路告警、离线告警、光链路告警；</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支持手动、定时批量检测设备的PING、SNMP、Telnet/SSH、MQTT、CWMP连通性；</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支持光链路状态周期巡检、手动巡检，支持单台设备光链路状态检测，支持光衰提前预警设置，关键链路具备智能检测功能，通过展示全链路设备信息，实现智能快速的定位故障点；</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可实现交换机零配置上线。根据不同区域的业务创建相应业务模板后，绑定设备区域位置信息，设备开箱上电后配置即可自动从软件下发，无需人工刷入配置；</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支持通过Excel批量导入、基于交换机端口两种方式绑定设备区域位置管理资产信息，并且创建交换机的业务模板，通过图形化界面提前规划各端口业务；</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当交换机出现故障，支持零配置替换故障设备，新设备上电后配置自动下发，支持终端在任意端口盲插接入，并且终端端口配置可自动迁移到新设备端口；</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支持邮件、短信、微信等多种告警方式，可将告警推送到用户微信公众号，同时允许设置多个Syslog 接收服务器，指定告警级别和告警主题；</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支持实现显示IPv4/IPv6地址的不同状态，包含冲突地址，分配地址，保留地址，不可分配地址等，同时通过界面化点阵图呈现已分配和可用IP地址，显示终端接入交换机端口+IP+MAC+最近一次活跃时间等；</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实配路由器管理许可≥20个(含SD-WAN可视化管理)，无线设备管理许可≥200个，交换机管理授权≥500个。</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A3FC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236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套</w:t>
            </w:r>
          </w:p>
        </w:tc>
      </w:tr>
      <w:tr w14:paraId="5AC8D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7F03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20</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6F3D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认证管理平台</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400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为保证网络的稳定性，降低项目成本，本次平台须采用软件形态，旁路部署模式。</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系统支持≥2000个哑终端的准入、≥2000个智能终端的准入及软件黑白名单检查。</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支持哑终端、智能终端的上线自动发现功能。</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支持Telnet协议读取网关设备的ARP、MAC地址表发现终端。</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支持终端识别功能，哑终端、非哑终端的识别率≥97%。</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支持办公类App认证：包括企业微信认证、钉钉认证，飞书认证，提供官网截图。</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审批入网，可自定义条件对终端进行手动或自动审批入网。自定义条件包括但不限于“终端MAC、终端类型、终端名称、终端操作系统、设备厂家、终端使用者、终端IP、终端配置网关IP、终端首次入网时间”等。网络权限内容包括但不限于端口级、最小化权限控制。</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支持上网权限控制，支持通过Telnet下发ACL进行控制，支持通过TCP授权上网权限控制。</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终端准入流程节点可基于不同的场景灵活自定义，支持自定义准入方式与准入规则。</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1支持联动上网行为管理，上网行为管理联动，支持联动EG产品进行上网行为管控，支持映射EG用户组生效策略范围。</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对问题终端精准定位，支持添加和导入网络设备、支持网络设备管理及设备配置模板管控。支持设备标签添加与标签管理。支持添加或导入设备端口备注，该备注支持在终端轨迹详情中显示。提供产品截图证明。</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支持IP可视化分配，支持精细化显示IP状态如未分配已使用、已分配未使用、已分配已使用、僵尸、冲突、刚回收、保留状态，支持IP违规告警业务白名单等功能。</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5811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7E93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套</w:t>
            </w:r>
          </w:p>
        </w:tc>
      </w:tr>
      <w:tr w14:paraId="5848D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6E76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21</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89ED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皮线光缆</w:t>
            </w:r>
          </w:p>
        </w:tc>
        <w:tc>
          <w:tcPr>
            <w:tcW w:w="28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6FB21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Style w:val="6"/>
                <w:rFonts w:hint="eastAsia" w:ascii="方正仿宋_GB2312" w:hAnsi="方正仿宋_GB2312" w:eastAsia="方正仿宋_GB2312" w:cs="方正仿宋_GB2312"/>
                <w:sz w:val="24"/>
                <w:szCs w:val="24"/>
                <w:lang w:val="en-US" w:eastAsia="zh-CN" w:bidi="ar"/>
              </w:rPr>
              <w:t>单模2芯，外形：扁平蝶形（8 字）</w:t>
            </w:r>
            <w:r>
              <w:rPr>
                <w:rStyle w:val="6"/>
                <w:rFonts w:hint="eastAsia" w:ascii="方正仿宋_GB2312" w:hAnsi="方正仿宋_GB2312" w:eastAsia="方正仿宋_GB2312" w:cs="方正仿宋_GB2312"/>
                <w:sz w:val="24"/>
                <w:szCs w:val="24"/>
                <w:lang w:val="en-US" w:eastAsia="zh-CN" w:bidi="ar"/>
              </w:rPr>
              <w:br w:type="textWrapping"/>
            </w:r>
            <w:r>
              <w:rPr>
                <w:rStyle w:val="6"/>
                <w:rFonts w:hint="eastAsia" w:ascii="方正仿宋_GB2312" w:hAnsi="方正仿宋_GB2312" w:eastAsia="方正仿宋_GB2312" w:cs="方正仿宋_GB2312"/>
                <w:sz w:val="24"/>
                <w:szCs w:val="24"/>
                <w:lang w:val="en-US" w:eastAsia="zh-CN" w:bidi="ar"/>
              </w:rPr>
              <w:t>尺寸：3.0×2.0mm（宽 × 厚）</w:t>
            </w:r>
            <w:r>
              <w:rPr>
                <w:rStyle w:val="6"/>
                <w:rFonts w:hint="eastAsia" w:ascii="方正仿宋_GB2312" w:hAnsi="方正仿宋_GB2312" w:eastAsia="方正仿宋_GB2312" w:cs="方正仿宋_GB2312"/>
                <w:sz w:val="24"/>
                <w:szCs w:val="24"/>
                <w:lang w:val="en-US" w:eastAsia="zh-CN" w:bidi="ar"/>
              </w:rPr>
              <w:br w:type="textWrapping"/>
            </w:r>
            <w:r>
              <w:rPr>
                <w:rStyle w:val="6"/>
                <w:rFonts w:hint="eastAsia" w:ascii="方正仿宋_GB2312" w:hAnsi="方正仿宋_GB2312" w:eastAsia="方正仿宋_GB2312" w:cs="方正仿宋_GB2312"/>
                <w:sz w:val="24"/>
                <w:szCs w:val="24"/>
                <w:lang w:val="en-US" w:eastAsia="zh-CN" w:bidi="ar"/>
              </w:rPr>
              <w:t>加强件：2 根平行磷化钢丝（</w:t>
            </w:r>
            <w:r>
              <w:rPr>
                <w:rFonts w:hint="eastAsia" w:ascii="方正仿宋_GB2312" w:hAnsi="方正仿宋_GB2312" w:eastAsia="方正仿宋_GB2312" w:cs="方正仿宋_GB2312"/>
                <w:i w:val="0"/>
                <w:iCs w:val="0"/>
                <w:color w:val="000000"/>
                <w:kern w:val="0"/>
                <w:sz w:val="24"/>
                <w:szCs w:val="24"/>
                <w:u w:val="none"/>
                <w:lang w:val="en-US" w:eastAsia="zh-CN" w:bidi="ar"/>
              </w:rPr>
              <w:t>φ</w:t>
            </w:r>
            <w:r>
              <w:rPr>
                <w:rStyle w:val="6"/>
                <w:rFonts w:hint="eastAsia" w:ascii="方正仿宋_GB2312" w:hAnsi="方正仿宋_GB2312" w:eastAsia="方正仿宋_GB2312" w:cs="方正仿宋_GB2312"/>
                <w:sz w:val="24"/>
                <w:szCs w:val="24"/>
                <w:lang w:val="en-US" w:eastAsia="zh-CN" w:bidi="ar"/>
              </w:rPr>
              <w:t>0.4~0.6mm）</w:t>
            </w:r>
            <w:r>
              <w:rPr>
                <w:rStyle w:val="6"/>
                <w:rFonts w:hint="eastAsia" w:ascii="方正仿宋_GB2312" w:hAnsi="方正仿宋_GB2312" w:eastAsia="方正仿宋_GB2312" w:cs="方正仿宋_GB2312"/>
                <w:sz w:val="24"/>
                <w:szCs w:val="24"/>
                <w:lang w:val="en-US" w:eastAsia="zh-CN" w:bidi="ar"/>
              </w:rPr>
              <w:br w:type="textWrapping"/>
            </w:r>
            <w:r>
              <w:rPr>
                <w:rStyle w:val="6"/>
                <w:rFonts w:hint="eastAsia" w:ascii="方正仿宋_GB2312" w:hAnsi="方正仿宋_GB2312" w:eastAsia="方正仿宋_GB2312" w:cs="方正仿宋_GB2312"/>
                <w:sz w:val="24"/>
                <w:szCs w:val="24"/>
                <w:lang w:val="en-US" w:eastAsia="zh-CN" w:bidi="ar"/>
              </w:rPr>
              <w:t>护套：LSZH 低烟无卤阻燃（室内）/PE 黑色（室外）</w:t>
            </w:r>
            <w:r>
              <w:rPr>
                <w:rStyle w:val="6"/>
                <w:rFonts w:hint="eastAsia" w:ascii="方正仿宋_GB2312" w:hAnsi="方正仿宋_GB2312" w:eastAsia="方正仿宋_GB2312" w:cs="方正仿宋_GB2312"/>
                <w:sz w:val="24"/>
                <w:szCs w:val="24"/>
                <w:lang w:val="en-US" w:eastAsia="zh-CN" w:bidi="ar"/>
              </w:rPr>
              <w:br w:type="textWrapping"/>
            </w:r>
            <w:r>
              <w:rPr>
                <w:rStyle w:val="6"/>
                <w:rFonts w:hint="eastAsia" w:ascii="方正仿宋_GB2312" w:hAnsi="方正仿宋_GB2312" w:eastAsia="方正仿宋_GB2312" w:cs="方正仿宋_GB2312"/>
                <w:sz w:val="24"/>
                <w:szCs w:val="24"/>
                <w:lang w:val="en-US" w:eastAsia="zh-CN" w:bidi="ar"/>
              </w:rPr>
              <w:t>重量：约 10kg/km</w:t>
            </w:r>
            <w:r>
              <w:rPr>
                <w:rStyle w:val="6"/>
                <w:rFonts w:hint="eastAsia" w:ascii="方正仿宋_GB2312" w:hAnsi="方正仿宋_GB2312" w:eastAsia="方正仿宋_GB2312" w:cs="方正仿宋_GB2312"/>
                <w:sz w:val="24"/>
                <w:szCs w:val="24"/>
                <w:lang w:val="en-US" w:eastAsia="zh-CN" w:bidi="ar"/>
              </w:rPr>
              <w:br w:type="textWrapping"/>
            </w:r>
            <w:r>
              <w:rPr>
                <w:rStyle w:val="6"/>
                <w:rFonts w:hint="eastAsia" w:ascii="方正仿宋_GB2312" w:hAnsi="方正仿宋_GB2312" w:eastAsia="方正仿宋_GB2312" w:cs="方正仿宋_GB2312"/>
                <w:sz w:val="24"/>
                <w:szCs w:val="24"/>
                <w:lang w:val="en-US" w:eastAsia="zh-CN" w:bidi="ar"/>
              </w:rPr>
              <w:t>光学性能（单模）</w:t>
            </w:r>
            <w:r>
              <w:rPr>
                <w:rStyle w:val="6"/>
                <w:rFonts w:hint="eastAsia" w:ascii="方正仿宋_GB2312" w:hAnsi="方正仿宋_GB2312" w:eastAsia="方正仿宋_GB2312" w:cs="方正仿宋_GB2312"/>
                <w:sz w:val="24"/>
                <w:szCs w:val="24"/>
                <w:lang w:val="en-US" w:eastAsia="zh-CN" w:bidi="ar"/>
              </w:rPr>
              <w:br w:type="textWrapping"/>
            </w:r>
            <w:r>
              <w:rPr>
                <w:rStyle w:val="6"/>
                <w:rFonts w:hint="eastAsia" w:ascii="方正仿宋_GB2312" w:hAnsi="方正仿宋_GB2312" w:eastAsia="方正仿宋_GB2312" w:cs="方正仿宋_GB2312"/>
                <w:sz w:val="24"/>
                <w:szCs w:val="24"/>
                <w:lang w:val="en-US" w:eastAsia="zh-CN" w:bidi="ar"/>
              </w:rPr>
              <w:t>工作波长：1310nm / 1550nm</w:t>
            </w:r>
            <w:r>
              <w:rPr>
                <w:rStyle w:val="6"/>
                <w:rFonts w:hint="eastAsia" w:ascii="方正仿宋_GB2312" w:hAnsi="方正仿宋_GB2312" w:eastAsia="方正仿宋_GB2312" w:cs="方正仿宋_GB2312"/>
                <w:sz w:val="24"/>
                <w:szCs w:val="24"/>
                <w:lang w:val="en-US" w:eastAsia="zh-CN" w:bidi="ar"/>
              </w:rPr>
              <w:br w:type="textWrapping"/>
            </w:r>
            <w:r>
              <w:rPr>
                <w:rStyle w:val="6"/>
                <w:rFonts w:hint="eastAsia" w:ascii="方正仿宋_GB2312" w:hAnsi="方正仿宋_GB2312" w:eastAsia="方正仿宋_GB2312" w:cs="方正仿宋_GB2312"/>
                <w:sz w:val="24"/>
                <w:szCs w:val="24"/>
                <w:lang w:val="en-US" w:eastAsia="zh-CN" w:bidi="ar"/>
              </w:rPr>
              <w:t>衰减：</w:t>
            </w:r>
            <w:r>
              <w:rPr>
                <w:rStyle w:val="6"/>
                <w:rFonts w:hint="eastAsia" w:ascii="方正仿宋_GB2312" w:hAnsi="方正仿宋_GB2312" w:eastAsia="方正仿宋_GB2312" w:cs="方正仿宋_GB2312"/>
                <w:sz w:val="24"/>
                <w:szCs w:val="24"/>
                <w:lang w:val="en-US" w:eastAsia="zh-CN" w:bidi="ar"/>
              </w:rPr>
              <w:br w:type="textWrapping"/>
            </w:r>
            <w:r>
              <w:rPr>
                <w:rStyle w:val="6"/>
                <w:rFonts w:hint="eastAsia" w:ascii="方正仿宋_GB2312" w:hAnsi="方正仿宋_GB2312" w:eastAsia="方正仿宋_GB2312" w:cs="方正仿宋_GB2312"/>
                <w:sz w:val="24"/>
                <w:szCs w:val="24"/>
                <w:lang w:val="en-US" w:eastAsia="zh-CN" w:bidi="ar"/>
              </w:rPr>
              <w:t>1310nm：≤0.35dB/km</w:t>
            </w:r>
            <w:r>
              <w:rPr>
                <w:rStyle w:val="6"/>
                <w:rFonts w:hint="eastAsia" w:ascii="方正仿宋_GB2312" w:hAnsi="方正仿宋_GB2312" w:eastAsia="方正仿宋_GB2312" w:cs="方正仿宋_GB2312"/>
                <w:sz w:val="24"/>
                <w:szCs w:val="24"/>
                <w:lang w:val="en-US" w:eastAsia="zh-CN" w:bidi="ar"/>
              </w:rPr>
              <w:br w:type="textWrapping"/>
            </w:r>
            <w:r>
              <w:rPr>
                <w:rStyle w:val="6"/>
                <w:rFonts w:hint="eastAsia" w:ascii="方正仿宋_GB2312" w:hAnsi="方正仿宋_GB2312" w:eastAsia="方正仿宋_GB2312" w:cs="方正仿宋_GB2312"/>
                <w:sz w:val="24"/>
                <w:szCs w:val="24"/>
                <w:lang w:val="en-US" w:eastAsia="zh-CN" w:bidi="ar"/>
              </w:rPr>
              <w:t>1550nm：≤0.22dB/km</w:t>
            </w:r>
            <w:r>
              <w:rPr>
                <w:rStyle w:val="6"/>
                <w:rFonts w:hint="eastAsia" w:ascii="方正仿宋_GB2312" w:hAnsi="方正仿宋_GB2312" w:eastAsia="方正仿宋_GB2312" w:cs="方正仿宋_GB2312"/>
                <w:sz w:val="24"/>
                <w:szCs w:val="24"/>
                <w:lang w:val="en-US" w:eastAsia="zh-CN" w:bidi="ar"/>
              </w:rPr>
              <w:br w:type="textWrapping"/>
            </w:r>
            <w:r>
              <w:rPr>
                <w:rStyle w:val="6"/>
                <w:rFonts w:hint="eastAsia" w:ascii="方正仿宋_GB2312" w:hAnsi="方正仿宋_GB2312" w:eastAsia="方正仿宋_GB2312" w:cs="方正仿宋_GB2312"/>
                <w:sz w:val="24"/>
                <w:szCs w:val="24"/>
                <w:lang w:val="en-US" w:eastAsia="zh-CN" w:bidi="ar"/>
              </w:rPr>
              <w:t>传输距离：FTTH 入户≤1km，支持千兆 / 万兆</w:t>
            </w:r>
            <w:r>
              <w:rPr>
                <w:rStyle w:val="6"/>
                <w:rFonts w:hint="eastAsia" w:ascii="方正仿宋_GB2312" w:hAnsi="方正仿宋_GB2312" w:eastAsia="方正仿宋_GB2312" w:cs="方正仿宋_GB2312"/>
                <w:sz w:val="24"/>
                <w:szCs w:val="24"/>
                <w:lang w:val="en-US" w:eastAsia="zh-CN" w:bidi="ar"/>
              </w:rPr>
              <w:br w:type="textWrapping"/>
            </w:r>
            <w:r>
              <w:rPr>
                <w:rStyle w:val="6"/>
                <w:rFonts w:hint="eastAsia" w:ascii="方正仿宋_GB2312" w:hAnsi="方正仿宋_GB2312" w:eastAsia="方正仿宋_GB2312" w:cs="方正仿宋_GB2312"/>
                <w:sz w:val="24"/>
                <w:szCs w:val="24"/>
                <w:lang w:val="en-US" w:eastAsia="zh-CN" w:bidi="ar"/>
              </w:rPr>
              <w:t>机械性能</w:t>
            </w:r>
            <w:r>
              <w:rPr>
                <w:rStyle w:val="6"/>
                <w:rFonts w:hint="eastAsia" w:ascii="方正仿宋_GB2312" w:hAnsi="方正仿宋_GB2312" w:eastAsia="方正仿宋_GB2312" w:cs="方正仿宋_GB2312"/>
                <w:sz w:val="24"/>
                <w:szCs w:val="24"/>
                <w:lang w:val="en-US" w:eastAsia="zh-CN" w:bidi="ar"/>
              </w:rPr>
              <w:br w:type="textWrapping"/>
            </w:r>
            <w:r>
              <w:rPr>
                <w:rStyle w:val="6"/>
                <w:rFonts w:hint="eastAsia" w:ascii="方正仿宋_GB2312" w:hAnsi="方正仿宋_GB2312" w:eastAsia="方正仿宋_GB2312" w:cs="方正仿宋_GB2312"/>
                <w:sz w:val="24"/>
                <w:szCs w:val="24"/>
                <w:lang w:val="en-US" w:eastAsia="zh-CN" w:bidi="ar"/>
              </w:rPr>
              <w:t>允许拉力：短期≥80N，长期≥40N</w:t>
            </w:r>
            <w:r>
              <w:rPr>
                <w:rStyle w:val="6"/>
                <w:rFonts w:hint="eastAsia" w:ascii="方正仿宋_GB2312" w:hAnsi="方正仿宋_GB2312" w:eastAsia="方正仿宋_GB2312" w:cs="方正仿宋_GB2312"/>
                <w:sz w:val="24"/>
                <w:szCs w:val="24"/>
                <w:lang w:val="en-US" w:eastAsia="zh-CN" w:bidi="ar"/>
              </w:rPr>
              <w:br w:type="textWrapping"/>
            </w:r>
            <w:r>
              <w:rPr>
                <w:rStyle w:val="6"/>
                <w:rFonts w:hint="eastAsia" w:ascii="方正仿宋_GB2312" w:hAnsi="方正仿宋_GB2312" w:eastAsia="方正仿宋_GB2312" w:cs="方正仿宋_GB2312"/>
                <w:sz w:val="24"/>
                <w:szCs w:val="24"/>
                <w:lang w:val="en-US" w:eastAsia="zh-CN" w:bidi="ar"/>
              </w:rPr>
              <w:t>最小弯曲半径：静态5mm，动态10mm</w:t>
            </w:r>
            <w:r>
              <w:rPr>
                <w:rStyle w:val="6"/>
                <w:rFonts w:hint="eastAsia" w:ascii="方正仿宋_GB2312" w:hAnsi="方正仿宋_GB2312" w:eastAsia="方正仿宋_GB2312" w:cs="方正仿宋_GB2312"/>
                <w:sz w:val="24"/>
                <w:szCs w:val="24"/>
                <w:lang w:val="en-US" w:eastAsia="zh-CN" w:bidi="ar"/>
              </w:rPr>
              <w:br w:type="textWrapping"/>
            </w:r>
            <w:r>
              <w:rPr>
                <w:rStyle w:val="6"/>
                <w:rFonts w:hint="eastAsia" w:ascii="方正仿宋_GB2312" w:hAnsi="方正仿宋_GB2312" w:eastAsia="方正仿宋_GB2312" w:cs="方正仿宋_GB2312"/>
                <w:sz w:val="24"/>
                <w:szCs w:val="24"/>
                <w:lang w:val="en-US" w:eastAsia="zh-CN" w:bidi="ar"/>
              </w:rPr>
              <w:t>抗压强度：2200N/100mm</w:t>
            </w:r>
            <w:r>
              <w:rPr>
                <w:rStyle w:val="6"/>
                <w:rFonts w:hint="eastAsia" w:ascii="方正仿宋_GB2312" w:hAnsi="方正仿宋_GB2312" w:eastAsia="方正仿宋_GB2312" w:cs="方正仿宋_GB2312"/>
                <w:sz w:val="24"/>
                <w:szCs w:val="24"/>
                <w:lang w:val="en-US" w:eastAsia="zh-CN" w:bidi="ar"/>
              </w:rPr>
              <w:br w:type="textWrapping"/>
            </w:r>
            <w:r>
              <w:rPr>
                <w:rStyle w:val="6"/>
                <w:rFonts w:hint="eastAsia" w:ascii="方正仿宋_GB2312" w:hAnsi="方正仿宋_GB2312" w:eastAsia="方正仿宋_GB2312" w:cs="方正仿宋_GB2312"/>
                <w:sz w:val="24"/>
                <w:szCs w:val="24"/>
                <w:lang w:val="en-US" w:eastAsia="zh-CN" w:bidi="ar"/>
              </w:rPr>
              <w:t>敷设温度：-5℃~+50℃；工作温度：-20℃~+60℃</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4AB83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17040</w:t>
            </w:r>
          </w:p>
        </w:tc>
        <w:tc>
          <w:tcPr>
            <w:tcW w:w="4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3D5F3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米</w:t>
            </w:r>
          </w:p>
        </w:tc>
      </w:tr>
      <w:tr w14:paraId="4E643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C28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22</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3D9D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ODF架</w:t>
            </w:r>
          </w:p>
        </w:tc>
        <w:tc>
          <w:tcPr>
            <w:tcW w:w="28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1DF49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48芯LC规格，1U，空架，19英寸机架式安装；</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采用前置面板，通用型适配器卡条，适合FC、SC、ST、LC适配器；</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材质：盒体采用优质冷轧钢质材料，表面采用喷塑处理技术，内部熔纤盘采用高强度工程塑料;</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盒体灰色，表面静电喷塑，附着力强不易脱落，美观耐用,具有良好的抗腐蚀能力；</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盒体4个进缆孔,进缆口采用丁腈橡胶圈密封，刺破使用，确保盒体密封性。</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光缆的熔接、存储、配线三种功能于一体；</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3EB4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4</w:t>
            </w:r>
          </w:p>
        </w:tc>
        <w:tc>
          <w:tcPr>
            <w:tcW w:w="4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F32A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套</w:t>
            </w:r>
          </w:p>
        </w:tc>
      </w:tr>
      <w:tr w14:paraId="1F06B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B4E2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23</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2B61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法兰盘</w:t>
            </w:r>
          </w:p>
        </w:tc>
        <w:tc>
          <w:tcPr>
            <w:tcW w:w="28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A183B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lc-lc，陶瓷插芯材料；</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插拔寿命：≥1000次；</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插入损耗：多模：PC≤0.3dB；互换性：≤0.2dB；重复性：≤0.2dB；</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温度范围：-40℃～+80℃</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0563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62</w:t>
            </w:r>
          </w:p>
        </w:tc>
        <w:tc>
          <w:tcPr>
            <w:tcW w:w="4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5CACC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个</w:t>
            </w:r>
          </w:p>
        </w:tc>
      </w:tr>
      <w:tr w14:paraId="1CEE8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0B7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24</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90C64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尾纤</w:t>
            </w:r>
          </w:p>
        </w:tc>
        <w:tc>
          <w:tcPr>
            <w:tcW w:w="28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C40DA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lc单模，陶瓷插芯，插销式锁紧，活动连接；</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适用于LC型适配器；</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插入损耗：UPC≤0.2dB；回波损耗：UPC≥50dB；</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插拔寿命：≥1000次。</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239CF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248</w:t>
            </w:r>
          </w:p>
        </w:tc>
        <w:tc>
          <w:tcPr>
            <w:tcW w:w="4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15BBD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根</w:t>
            </w:r>
          </w:p>
        </w:tc>
      </w:tr>
      <w:tr w14:paraId="1C7B3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DFAB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25</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DB84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光纤跳线</w:t>
            </w:r>
          </w:p>
        </w:tc>
        <w:tc>
          <w:tcPr>
            <w:tcW w:w="28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AC45B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lc-lc单模定制（不同长度规格），陶瓷插芯，插销式锁紧，活动连接；</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适用于LC型适配器；</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插入损耗：UPC≤0.2dB；回波损耗：UPC≥50dB；</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插拔寿命：≥1000次。</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96D2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62</w:t>
            </w:r>
          </w:p>
        </w:tc>
        <w:tc>
          <w:tcPr>
            <w:tcW w:w="4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CBC45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对</w:t>
            </w:r>
          </w:p>
        </w:tc>
      </w:tr>
      <w:tr w14:paraId="4ED78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E64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26</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6D822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光纤熔接</w:t>
            </w:r>
          </w:p>
        </w:tc>
        <w:tc>
          <w:tcPr>
            <w:tcW w:w="28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1747A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热熔接</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3DEB1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248</w:t>
            </w:r>
          </w:p>
        </w:tc>
        <w:tc>
          <w:tcPr>
            <w:tcW w:w="4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E19F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芯</w:t>
            </w:r>
          </w:p>
        </w:tc>
      </w:tr>
      <w:tr w14:paraId="0DC28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131D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27</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9E544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信息箱</w:t>
            </w:r>
          </w:p>
        </w:tc>
        <w:tc>
          <w:tcPr>
            <w:tcW w:w="28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8903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定制冷轧钢材材质、尺寸约为400*300*100mm，（长、高、深），箱体：冷轧钢板 / 304 不锈钢，厚度0.8～1.2mm</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门板：冷轧钢板 / ABS 阻燃面板，厚度 1.0～1.5mm</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表面：静电喷塑 / 防锈处理，防护等级IP30</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7988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62</w:t>
            </w:r>
          </w:p>
        </w:tc>
        <w:tc>
          <w:tcPr>
            <w:tcW w:w="4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4E276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套</w:t>
            </w:r>
          </w:p>
        </w:tc>
      </w:tr>
      <w:tr w14:paraId="2BE50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96F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28</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03D3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电源线</w:t>
            </w:r>
          </w:p>
        </w:tc>
        <w:tc>
          <w:tcPr>
            <w:tcW w:w="28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8F508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Style w:val="7"/>
                <w:rFonts w:hint="eastAsia" w:ascii="方正仿宋_GB2312" w:hAnsi="方正仿宋_GB2312" w:eastAsia="方正仿宋_GB2312" w:cs="方正仿宋_GB2312"/>
                <w:sz w:val="24"/>
                <w:szCs w:val="24"/>
                <w:lang w:val="en-US" w:eastAsia="zh-CN" w:bidi="ar"/>
              </w:rPr>
              <w:t>RVV2*1.0，1. 基础规格</w:t>
            </w:r>
            <w:r>
              <w:rPr>
                <w:rStyle w:val="7"/>
                <w:rFonts w:hint="eastAsia" w:ascii="方正仿宋_GB2312" w:hAnsi="方正仿宋_GB2312" w:eastAsia="方正仿宋_GB2312" w:cs="方正仿宋_GB2312"/>
                <w:sz w:val="24"/>
                <w:szCs w:val="24"/>
                <w:lang w:val="en-US" w:eastAsia="zh-CN" w:bidi="ar"/>
              </w:rPr>
              <w:br w:type="textWrapping"/>
            </w:r>
            <w:r>
              <w:rPr>
                <w:rStyle w:val="7"/>
                <w:rFonts w:hint="eastAsia" w:ascii="方正仿宋_GB2312" w:hAnsi="方正仿宋_GB2312" w:eastAsia="方正仿宋_GB2312" w:cs="方正仿宋_GB2312"/>
                <w:sz w:val="24"/>
                <w:szCs w:val="24"/>
                <w:lang w:val="en-US" w:eastAsia="zh-CN" w:bidi="ar"/>
              </w:rPr>
              <w:t>型号：RVV 2 芯 ×1.0mm²</w:t>
            </w:r>
            <w:r>
              <w:rPr>
                <w:rStyle w:val="7"/>
                <w:rFonts w:hint="eastAsia" w:ascii="方正仿宋_GB2312" w:hAnsi="方正仿宋_GB2312" w:eastAsia="方正仿宋_GB2312" w:cs="方正仿宋_GB2312"/>
                <w:sz w:val="24"/>
                <w:szCs w:val="24"/>
                <w:lang w:val="en-US" w:eastAsia="zh-CN" w:bidi="ar"/>
              </w:rPr>
              <w:br w:type="textWrapping"/>
            </w:r>
            <w:r>
              <w:rPr>
                <w:rStyle w:val="7"/>
                <w:rFonts w:hint="eastAsia" w:ascii="方正仿宋_GB2312" w:hAnsi="方正仿宋_GB2312" w:eastAsia="方正仿宋_GB2312" w:cs="方正仿宋_GB2312"/>
                <w:sz w:val="24"/>
                <w:szCs w:val="24"/>
                <w:lang w:val="en-US" w:eastAsia="zh-CN" w:bidi="ar"/>
              </w:rPr>
              <w:t>结构：多股铜丝软线，平行护套电源线</w:t>
            </w:r>
            <w:r>
              <w:rPr>
                <w:rStyle w:val="7"/>
                <w:rFonts w:hint="eastAsia" w:ascii="方正仿宋_GB2312" w:hAnsi="方正仿宋_GB2312" w:eastAsia="方正仿宋_GB2312" w:cs="方正仿宋_GB2312"/>
                <w:sz w:val="24"/>
                <w:szCs w:val="24"/>
                <w:lang w:val="en-US" w:eastAsia="zh-CN" w:bidi="ar"/>
              </w:rPr>
              <w:br w:type="textWrapping"/>
            </w:r>
            <w:r>
              <w:rPr>
                <w:rStyle w:val="7"/>
                <w:rFonts w:hint="eastAsia" w:ascii="方正仿宋_GB2312" w:hAnsi="方正仿宋_GB2312" w:eastAsia="方正仿宋_GB2312" w:cs="方正仿宋_GB2312"/>
                <w:sz w:val="24"/>
                <w:szCs w:val="24"/>
                <w:lang w:val="en-US" w:eastAsia="zh-CN" w:bidi="ar"/>
              </w:rPr>
              <w:t>芯数：2 芯（火线 + 零线）</w:t>
            </w:r>
            <w:r>
              <w:rPr>
                <w:rStyle w:val="7"/>
                <w:rFonts w:hint="eastAsia" w:ascii="方正仿宋_GB2312" w:hAnsi="方正仿宋_GB2312" w:eastAsia="方正仿宋_GB2312" w:cs="方正仿宋_GB2312"/>
                <w:sz w:val="24"/>
                <w:szCs w:val="24"/>
                <w:lang w:val="en-US" w:eastAsia="zh-CN" w:bidi="ar"/>
              </w:rPr>
              <w:br w:type="textWrapping"/>
            </w:r>
            <w:r>
              <w:rPr>
                <w:rStyle w:val="7"/>
                <w:rFonts w:hint="eastAsia" w:ascii="方正仿宋_GB2312" w:hAnsi="方正仿宋_GB2312" w:eastAsia="方正仿宋_GB2312" w:cs="方正仿宋_GB2312"/>
                <w:sz w:val="24"/>
                <w:szCs w:val="24"/>
                <w:lang w:val="en-US" w:eastAsia="zh-CN" w:bidi="ar"/>
              </w:rPr>
              <w:t>2. 导体参数</w:t>
            </w:r>
            <w:r>
              <w:rPr>
                <w:rStyle w:val="7"/>
                <w:rFonts w:hint="eastAsia" w:ascii="方正仿宋_GB2312" w:hAnsi="方正仿宋_GB2312" w:eastAsia="方正仿宋_GB2312" w:cs="方正仿宋_GB2312"/>
                <w:sz w:val="24"/>
                <w:szCs w:val="24"/>
                <w:lang w:val="en-US" w:eastAsia="zh-CN" w:bidi="ar"/>
              </w:rPr>
              <w:br w:type="textWrapping"/>
            </w:r>
            <w:r>
              <w:rPr>
                <w:rStyle w:val="7"/>
                <w:rFonts w:hint="eastAsia" w:ascii="方正仿宋_GB2312" w:hAnsi="方正仿宋_GB2312" w:eastAsia="方正仿宋_GB2312" w:cs="方正仿宋_GB2312"/>
                <w:sz w:val="24"/>
                <w:szCs w:val="24"/>
                <w:lang w:val="en-US" w:eastAsia="zh-CN" w:bidi="ar"/>
              </w:rPr>
              <w:t>标称截面积：1.0mm²</w:t>
            </w:r>
            <w:r>
              <w:rPr>
                <w:rStyle w:val="7"/>
                <w:rFonts w:hint="eastAsia" w:ascii="方正仿宋_GB2312" w:hAnsi="方正仿宋_GB2312" w:eastAsia="方正仿宋_GB2312" w:cs="方正仿宋_GB2312"/>
                <w:sz w:val="24"/>
                <w:szCs w:val="24"/>
                <w:lang w:val="en-US" w:eastAsia="zh-CN" w:bidi="ar"/>
              </w:rPr>
              <w:br w:type="textWrapping"/>
            </w:r>
            <w:r>
              <w:rPr>
                <w:rStyle w:val="7"/>
                <w:rFonts w:hint="eastAsia" w:ascii="方正仿宋_GB2312" w:hAnsi="方正仿宋_GB2312" w:eastAsia="方正仿宋_GB2312" w:cs="方正仿宋_GB2312"/>
                <w:sz w:val="24"/>
                <w:szCs w:val="24"/>
                <w:lang w:val="en-US" w:eastAsia="zh-CN" w:bidi="ar"/>
              </w:rPr>
              <w:t>单根铜丝：0.15mm</w:t>
            </w:r>
            <w:r>
              <w:rPr>
                <w:rStyle w:val="7"/>
                <w:rFonts w:hint="eastAsia" w:ascii="方正仿宋_GB2312" w:hAnsi="方正仿宋_GB2312" w:eastAsia="方正仿宋_GB2312" w:cs="方正仿宋_GB2312"/>
                <w:sz w:val="24"/>
                <w:szCs w:val="24"/>
                <w:lang w:val="en-US" w:eastAsia="zh-CN" w:bidi="ar"/>
              </w:rPr>
              <w:br w:type="textWrapping"/>
            </w:r>
            <w:r>
              <w:rPr>
                <w:rStyle w:val="7"/>
                <w:rFonts w:hint="eastAsia" w:ascii="方正仿宋_GB2312" w:hAnsi="方正仿宋_GB2312" w:eastAsia="方正仿宋_GB2312" w:cs="方正仿宋_GB2312"/>
                <w:sz w:val="24"/>
                <w:szCs w:val="24"/>
                <w:lang w:val="en-US" w:eastAsia="zh-CN" w:bidi="ar"/>
              </w:rPr>
              <w:t>绞合根数：19 根</w:t>
            </w:r>
            <w:r>
              <w:rPr>
                <w:rStyle w:val="7"/>
                <w:rFonts w:hint="eastAsia" w:ascii="方正仿宋_GB2312" w:hAnsi="方正仿宋_GB2312" w:eastAsia="方正仿宋_GB2312" w:cs="方正仿宋_GB2312"/>
                <w:sz w:val="24"/>
                <w:szCs w:val="24"/>
                <w:lang w:val="en-US" w:eastAsia="zh-CN" w:bidi="ar"/>
              </w:rPr>
              <w:br w:type="textWrapping"/>
            </w:r>
            <w:r>
              <w:rPr>
                <w:rStyle w:val="7"/>
                <w:rFonts w:hint="eastAsia" w:ascii="方正仿宋_GB2312" w:hAnsi="方正仿宋_GB2312" w:eastAsia="方正仿宋_GB2312" w:cs="方正仿宋_GB2312"/>
                <w:sz w:val="24"/>
                <w:szCs w:val="24"/>
                <w:lang w:val="en-US" w:eastAsia="zh-CN" w:bidi="ar"/>
              </w:rPr>
              <w:t>材质：纯无氧铜</w:t>
            </w:r>
            <w:r>
              <w:rPr>
                <w:rStyle w:val="7"/>
                <w:rFonts w:hint="eastAsia" w:ascii="方正仿宋_GB2312" w:hAnsi="方正仿宋_GB2312" w:eastAsia="方正仿宋_GB2312" w:cs="方正仿宋_GB2312"/>
                <w:sz w:val="24"/>
                <w:szCs w:val="24"/>
                <w:lang w:val="en-US" w:eastAsia="zh-CN" w:bidi="ar"/>
              </w:rPr>
              <w:br w:type="textWrapping"/>
            </w:r>
            <w:r>
              <w:rPr>
                <w:rStyle w:val="7"/>
                <w:rFonts w:hint="eastAsia" w:ascii="方正仿宋_GB2312" w:hAnsi="方正仿宋_GB2312" w:eastAsia="方正仿宋_GB2312" w:cs="方正仿宋_GB2312"/>
                <w:sz w:val="24"/>
                <w:szCs w:val="24"/>
                <w:lang w:val="en-US" w:eastAsia="zh-CN" w:bidi="ar"/>
              </w:rPr>
              <w:t>3. 尺寸</w:t>
            </w:r>
            <w:r>
              <w:rPr>
                <w:rStyle w:val="7"/>
                <w:rFonts w:hint="eastAsia" w:ascii="方正仿宋_GB2312" w:hAnsi="方正仿宋_GB2312" w:eastAsia="方正仿宋_GB2312" w:cs="方正仿宋_GB2312"/>
                <w:sz w:val="24"/>
                <w:szCs w:val="24"/>
                <w:lang w:val="en-US" w:eastAsia="zh-CN" w:bidi="ar"/>
              </w:rPr>
              <w:br w:type="textWrapping"/>
            </w:r>
            <w:r>
              <w:rPr>
                <w:rStyle w:val="7"/>
                <w:rFonts w:hint="eastAsia" w:ascii="方正仿宋_GB2312" w:hAnsi="方正仿宋_GB2312" w:eastAsia="方正仿宋_GB2312" w:cs="方正仿宋_GB2312"/>
                <w:sz w:val="24"/>
                <w:szCs w:val="24"/>
                <w:lang w:val="en-US" w:eastAsia="zh-CN" w:bidi="ar"/>
              </w:rPr>
              <w:t>绝缘厚度：0.6mm</w:t>
            </w:r>
            <w:r>
              <w:rPr>
                <w:rStyle w:val="7"/>
                <w:rFonts w:hint="eastAsia" w:ascii="方正仿宋_GB2312" w:hAnsi="方正仿宋_GB2312" w:eastAsia="方正仿宋_GB2312" w:cs="方正仿宋_GB2312"/>
                <w:sz w:val="24"/>
                <w:szCs w:val="24"/>
                <w:lang w:val="en-US" w:eastAsia="zh-CN" w:bidi="ar"/>
              </w:rPr>
              <w:br w:type="textWrapping"/>
            </w:r>
            <w:r>
              <w:rPr>
                <w:rStyle w:val="7"/>
                <w:rFonts w:hint="eastAsia" w:ascii="方正仿宋_GB2312" w:hAnsi="方正仿宋_GB2312" w:eastAsia="方正仿宋_GB2312" w:cs="方正仿宋_GB2312"/>
                <w:sz w:val="24"/>
                <w:szCs w:val="24"/>
                <w:lang w:val="en-US" w:eastAsia="zh-CN" w:bidi="ar"/>
              </w:rPr>
              <w:t>护套厚度：0.8mm</w:t>
            </w:r>
            <w:r>
              <w:rPr>
                <w:rStyle w:val="7"/>
                <w:rFonts w:hint="eastAsia" w:ascii="方正仿宋_GB2312" w:hAnsi="方正仿宋_GB2312" w:eastAsia="方正仿宋_GB2312" w:cs="方正仿宋_GB2312"/>
                <w:sz w:val="24"/>
                <w:szCs w:val="24"/>
                <w:lang w:val="en-US" w:eastAsia="zh-CN" w:bidi="ar"/>
              </w:rPr>
              <w:br w:type="textWrapping"/>
            </w:r>
            <w:r>
              <w:rPr>
                <w:rStyle w:val="7"/>
                <w:rFonts w:hint="eastAsia" w:ascii="方正仿宋_GB2312" w:hAnsi="方正仿宋_GB2312" w:eastAsia="方正仿宋_GB2312" w:cs="方正仿宋_GB2312"/>
                <w:sz w:val="24"/>
                <w:szCs w:val="24"/>
                <w:lang w:val="en-US" w:eastAsia="zh-CN" w:bidi="ar"/>
              </w:rPr>
              <w:t>线缆外径：约 6.0×3.2mm</w:t>
            </w:r>
            <w:r>
              <w:rPr>
                <w:rStyle w:val="7"/>
                <w:rFonts w:hint="eastAsia" w:ascii="方正仿宋_GB2312" w:hAnsi="方正仿宋_GB2312" w:eastAsia="方正仿宋_GB2312" w:cs="方正仿宋_GB2312"/>
                <w:sz w:val="24"/>
                <w:szCs w:val="24"/>
                <w:lang w:val="en-US" w:eastAsia="zh-CN" w:bidi="ar"/>
              </w:rPr>
              <w:br w:type="textWrapping"/>
            </w:r>
            <w:r>
              <w:rPr>
                <w:rStyle w:val="7"/>
                <w:rFonts w:hint="eastAsia" w:ascii="方正仿宋_GB2312" w:hAnsi="方正仿宋_GB2312" w:eastAsia="方正仿宋_GB2312" w:cs="方正仿宋_GB2312"/>
                <w:sz w:val="24"/>
                <w:szCs w:val="24"/>
                <w:lang w:val="en-US" w:eastAsia="zh-CN" w:bidi="ar"/>
              </w:rPr>
              <w:t>4. 电气参数</w:t>
            </w:r>
            <w:r>
              <w:rPr>
                <w:rStyle w:val="7"/>
                <w:rFonts w:hint="eastAsia" w:ascii="方正仿宋_GB2312" w:hAnsi="方正仿宋_GB2312" w:eastAsia="方正仿宋_GB2312" w:cs="方正仿宋_GB2312"/>
                <w:sz w:val="24"/>
                <w:szCs w:val="24"/>
                <w:lang w:val="en-US" w:eastAsia="zh-CN" w:bidi="ar"/>
              </w:rPr>
              <w:br w:type="textWrapping"/>
            </w:r>
            <w:r>
              <w:rPr>
                <w:rStyle w:val="7"/>
                <w:rFonts w:hint="eastAsia" w:ascii="方正仿宋_GB2312" w:hAnsi="方正仿宋_GB2312" w:eastAsia="方正仿宋_GB2312" w:cs="方正仿宋_GB2312"/>
                <w:sz w:val="24"/>
                <w:szCs w:val="24"/>
                <w:lang w:val="en-US" w:eastAsia="zh-CN" w:bidi="ar"/>
              </w:rPr>
              <w:t>额定电压：300/500V</w:t>
            </w:r>
            <w:r>
              <w:rPr>
                <w:rStyle w:val="7"/>
                <w:rFonts w:hint="eastAsia" w:ascii="方正仿宋_GB2312" w:hAnsi="方正仿宋_GB2312" w:eastAsia="方正仿宋_GB2312" w:cs="方正仿宋_GB2312"/>
                <w:sz w:val="24"/>
                <w:szCs w:val="24"/>
                <w:lang w:val="en-US" w:eastAsia="zh-CN" w:bidi="ar"/>
              </w:rPr>
              <w:br w:type="textWrapping"/>
            </w:r>
            <w:r>
              <w:rPr>
                <w:rStyle w:val="7"/>
                <w:rFonts w:hint="eastAsia" w:ascii="方正仿宋_GB2312" w:hAnsi="方正仿宋_GB2312" w:eastAsia="方正仿宋_GB2312" w:cs="方正仿宋_GB2312"/>
                <w:sz w:val="24"/>
                <w:szCs w:val="24"/>
                <w:lang w:val="en-US" w:eastAsia="zh-CN" w:bidi="ar"/>
              </w:rPr>
              <w:t>安全载流量：10～13A</w:t>
            </w:r>
            <w:r>
              <w:rPr>
                <w:rStyle w:val="7"/>
                <w:rFonts w:hint="eastAsia" w:ascii="方正仿宋_GB2312" w:hAnsi="方正仿宋_GB2312" w:eastAsia="方正仿宋_GB2312" w:cs="方正仿宋_GB2312"/>
                <w:sz w:val="24"/>
                <w:szCs w:val="24"/>
                <w:lang w:val="en-US" w:eastAsia="zh-CN" w:bidi="ar"/>
              </w:rPr>
              <w:br w:type="textWrapping"/>
            </w:r>
            <w:r>
              <w:rPr>
                <w:rStyle w:val="7"/>
                <w:rFonts w:hint="eastAsia" w:ascii="方正仿宋_GB2312" w:hAnsi="方正仿宋_GB2312" w:eastAsia="方正仿宋_GB2312" w:cs="方正仿宋_GB2312"/>
                <w:sz w:val="24"/>
                <w:szCs w:val="24"/>
                <w:lang w:val="en-US" w:eastAsia="zh-CN" w:bidi="ar"/>
              </w:rPr>
              <w:t>适用功率（220V）：2.2～2.86KW</w:t>
            </w:r>
            <w:r>
              <w:rPr>
                <w:rStyle w:val="7"/>
                <w:rFonts w:hint="eastAsia" w:ascii="方正仿宋_GB2312" w:hAnsi="方正仿宋_GB2312" w:eastAsia="方正仿宋_GB2312" w:cs="方正仿宋_GB2312"/>
                <w:sz w:val="24"/>
                <w:szCs w:val="24"/>
                <w:lang w:val="en-US" w:eastAsia="zh-CN" w:bidi="ar"/>
              </w:rPr>
              <w:br w:type="textWrapping"/>
            </w:r>
            <w:r>
              <w:rPr>
                <w:rStyle w:val="7"/>
                <w:rFonts w:hint="eastAsia" w:ascii="方正仿宋_GB2312" w:hAnsi="方正仿宋_GB2312" w:eastAsia="方正仿宋_GB2312" w:cs="方正仿宋_GB2312"/>
                <w:sz w:val="24"/>
                <w:szCs w:val="24"/>
                <w:lang w:val="en-US" w:eastAsia="zh-CN" w:bidi="ar"/>
              </w:rPr>
              <w:t>直流电阻：≤18.1</w:t>
            </w:r>
            <w:r>
              <w:rPr>
                <w:rFonts w:hint="eastAsia" w:ascii="方正仿宋_GB2312" w:hAnsi="方正仿宋_GB2312" w:eastAsia="方正仿宋_GB2312" w:cs="方正仿宋_GB2312"/>
                <w:i w:val="0"/>
                <w:iCs w:val="0"/>
                <w:color w:val="000000"/>
                <w:kern w:val="0"/>
                <w:sz w:val="24"/>
                <w:szCs w:val="24"/>
                <w:u w:val="none"/>
                <w:lang w:val="en-US" w:eastAsia="zh-CN" w:bidi="ar"/>
              </w:rPr>
              <w:t>Ω</w:t>
            </w:r>
            <w:r>
              <w:rPr>
                <w:rStyle w:val="7"/>
                <w:rFonts w:hint="eastAsia" w:ascii="方正仿宋_GB2312" w:hAnsi="方正仿宋_GB2312" w:eastAsia="方正仿宋_GB2312" w:cs="方正仿宋_GB2312"/>
                <w:sz w:val="24"/>
                <w:szCs w:val="24"/>
                <w:lang w:val="en-US" w:eastAsia="zh-CN" w:bidi="ar"/>
              </w:rPr>
              <w:t>/100m</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E710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310</w:t>
            </w:r>
          </w:p>
        </w:tc>
        <w:tc>
          <w:tcPr>
            <w:tcW w:w="4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793E8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米</w:t>
            </w:r>
          </w:p>
        </w:tc>
      </w:tr>
      <w:tr w14:paraId="0CBA5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2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950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29</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CF1D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网线</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6EDF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六类非屏蔽，导体规格：23AWG 实心无氧铜</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单芯直径：0.575mm</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线对：4 对 8 芯双绞线</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隔离：内置十字骨架，分隔四对线，减少串扰</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绝缘层：高密度 HDPE</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外护套：PVC 环保阻燃</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线缆外径：5.8~6.0mm</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8980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10670</w:t>
            </w:r>
          </w:p>
        </w:tc>
        <w:tc>
          <w:tcPr>
            <w:tcW w:w="4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3D5B6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米</w:t>
            </w:r>
          </w:p>
        </w:tc>
      </w:tr>
      <w:tr w14:paraId="7AC15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6BA9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30</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17E7B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网络模块</w:t>
            </w:r>
          </w:p>
        </w:tc>
        <w:tc>
          <w:tcPr>
            <w:tcW w:w="28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93E5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Style w:val="6"/>
                <w:rFonts w:hint="eastAsia" w:ascii="方正仿宋_GB2312" w:hAnsi="方正仿宋_GB2312" w:eastAsia="方正仿宋_GB2312" w:cs="方正仿宋_GB2312"/>
                <w:sz w:val="24"/>
                <w:szCs w:val="24"/>
                <w:lang w:val="en-US" w:eastAsia="zh-CN" w:bidi="ar"/>
              </w:rPr>
              <w:t>六类非屏蔽 ，特性阻抗：100</w:t>
            </w:r>
            <w:r>
              <w:rPr>
                <w:rFonts w:hint="eastAsia" w:ascii="方正仿宋_GB2312" w:hAnsi="方正仿宋_GB2312" w:eastAsia="方正仿宋_GB2312" w:cs="方正仿宋_GB2312"/>
                <w:i w:val="0"/>
                <w:iCs w:val="0"/>
                <w:color w:val="000000"/>
                <w:kern w:val="0"/>
                <w:sz w:val="24"/>
                <w:szCs w:val="24"/>
                <w:u w:val="none"/>
                <w:lang w:val="en-US" w:eastAsia="zh-CN" w:bidi="ar"/>
              </w:rPr>
              <w:t>Ω</w:t>
            </w:r>
            <w:r>
              <w:rPr>
                <w:rStyle w:val="6"/>
                <w:rFonts w:hint="eastAsia" w:ascii="方正仿宋_GB2312" w:hAnsi="方正仿宋_GB2312" w:eastAsia="方正仿宋_GB2312" w:cs="方正仿宋_GB2312"/>
                <w:sz w:val="24"/>
                <w:szCs w:val="24"/>
                <w:lang w:val="en-US" w:eastAsia="zh-CN" w:bidi="ar"/>
              </w:rPr>
              <w:t>±15%</w:t>
            </w:r>
            <w:r>
              <w:rPr>
                <w:rStyle w:val="6"/>
                <w:rFonts w:hint="eastAsia" w:ascii="方正仿宋_GB2312" w:hAnsi="方正仿宋_GB2312" w:eastAsia="方正仿宋_GB2312" w:cs="方正仿宋_GB2312"/>
                <w:sz w:val="24"/>
                <w:szCs w:val="24"/>
                <w:lang w:val="en-US" w:eastAsia="zh-CN" w:bidi="ar"/>
              </w:rPr>
              <w:br w:type="textWrapping"/>
            </w:r>
            <w:r>
              <w:rPr>
                <w:rStyle w:val="6"/>
                <w:rFonts w:hint="eastAsia" w:ascii="方正仿宋_GB2312" w:hAnsi="方正仿宋_GB2312" w:eastAsia="方正仿宋_GB2312" w:cs="方正仿宋_GB2312"/>
                <w:sz w:val="24"/>
                <w:szCs w:val="24"/>
                <w:lang w:val="en-US" w:eastAsia="zh-CN" w:bidi="ar"/>
              </w:rPr>
              <w:t>线芯适配：23AWG/24AWG 六类网线</w:t>
            </w:r>
            <w:r>
              <w:rPr>
                <w:rStyle w:val="6"/>
                <w:rFonts w:hint="eastAsia" w:ascii="方正仿宋_GB2312" w:hAnsi="方正仿宋_GB2312" w:eastAsia="方正仿宋_GB2312" w:cs="方正仿宋_GB2312"/>
                <w:sz w:val="24"/>
                <w:szCs w:val="24"/>
                <w:lang w:val="en-US" w:eastAsia="zh-CN" w:bidi="ar"/>
              </w:rPr>
              <w:br w:type="textWrapping"/>
            </w:r>
            <w:r>
              <w:rPr>
                <w:rStyle w:val="6"/>
                <w:rFonts w:hint="eastAsia" w:ascii="方正仿宋_GB2312" w:hAnsi="方正仿宋_GB2312" w:eastAsia="方正仿宋_GB2312" w:cs="方正仿宋_GB2312"/>
                <w:sz w:val="24"/>
                <w:szCs w:val="24"/>
                <w:lang w:val="en-US" w:eastAsia="zh-CN" w:bidi="ar"/>
              </w:rPr>
              <w:t>端接方式：IDC 打线，支持T568A/T568B</w:t>
            </w:r>
            <w:r>
              <w:rPr>
                <w:rStyle w:val="6"/>
                <w:rFonts w:hint="eastAsia" w:ascii="方正仿宋_GB2312" w:hAnsi="方正仿宋_GB2312" w:eastAsia="方正仿宋_GB2312" w:cs="方正仿宋_GB2312"/>
                <w:sz w:val="24"/>
                <w:szCs w:val="24"/>
                <w:lang w:val="en-US" w:eastAsia="zh-CN" w:bidi="ar"/>
              </w:rPr>
              <w:br w:type="textWrapping"/>
            </w:r>
            <w:r>
              <w:rPr>
                <w:rStyle w:val="6"/>
                <w:rFonts w:hint="eastAsia" w:ascii="方正仿宋_GB2312" w:hAnsi="方正仿宋_GB2312" w:eastAsia="方正仿宋_GB2312" w:cs="方正仿宋_GB2312"/>
                <w:sz w:val="24"/>
                <w:szCs w:val="24"/>
                <w:lang w:val="en-US" w:eastAsia="zh-CN" w:bidi="ar"/>
              </w:rPr>
              <w:t>插拔寿命：≥1000 次</w:t>
            </w:r>
            <w:r>
              <w:rPr>
                <w:rStyle w:val="6"/>
                <w:rFonts w:hint="eastAsia" w:ascii="方正仿宋_GB2312" w:hAnsi="方正仿宋_GB2312" w:eastAsia="方正仿宋_GB2312" w:cs="方正仿宋_GB2312"/>
                <w:sz w:val="24"/>
                <w:szCs w:val="24"/>
                <w:lang w:val="en-US" w:eastAsia="zh-CN" w:bidi="ar"/>
              </w:rPr>
              <w:br w:type="textWrapping"/>
            </w:r>
            <w:r>
              <w:rPr>
                <w:rStyle w:val="6"/>
                <w:rFonts w:hint="eastAsia" w:ascii="方正仿宋_GB2312" w:hAnsi="方正仿宋_GB2312" w:eastAsia="方正仿宋_GB2312" w:cs="方正仿宋_GB2312"/>
                <w:sz w:val="24"/>
                <w:szCs w:val="24"/>
                <w:lang w:val="en-US" w:eastAsia="zh-CN" w:bidi="ar"/>
              </w:rPr>
              <w:t>绝缘耐压：≥1500V</w:t>
            </w:r>
            <w:r>
              <w:rPr>
                <w:rStyle w:val="6"/>
                <w:rFonts w:hint="eastAsia" w:ascii="方正仿宋_GB2312" w:hAnsi="方正仿宋_GB2312" w:eastAsia="方正仿宋_GB2312" w:cs="方正仿宋_GB2312"/>
                <w:sz w:val="24"/>
                <w:szCs w:val="24"/>
                <w:lang w:val="en-US" w:eastAsia="zh-CN" w:bidi="ar"/>
              </w:rPr>
              <w:br w:type="textWrapping"/>
            </w:r>
            <w:r>
              <w:rPr>
                <w:rStyle w:val="6"/>
                <w:rFonts w:hint="eastAsia" w:ascii="方正仿宋_GB2312" w:hAnsi="方正仿宋_GB2312" w:eastAsia="方正仿宋_GB2312" w:cs="方正仿宋_GB2312"/>
                <w:sz w:val="24"/>
                <w:szCs w:val="24"/>
                <w:lang w:val="en-US" w:eastAsia="zh-CN" w:bidi="ar"/>
              </w:rPr>
              <w:t>规格：86 型通用六类模块</w:t>
            </w:r>
            <w:r>
              <w:rPr>
                <w:rStyle w:val="6"/>
                <w:rFonts w:hint="eastAsia" w:ascii="方正仿宋_GB2312" w:hAnsi="方正仿宋_GB2312" w:eastAsia="方正仿宋_GB2312" w:cs="方正仿宋_GB2312"/>
                <w:sz w:val="24"/>
                <w:szCs w:val="24"/>
                <w:lang w:val="en-US" w:eastAsia="zh-CN" w:bidi="ar"/>
              </w:rPr>
              <w:br w:type="textWrapping"/>
            </w:r>
            <w:r>
              <w:rPr>
                <w:rStyle w:val="6"/>
                <w:rFonts w:hint="eastAsia" w:ascii="方正仿宋_GB2312" w:hAnsi="方正仿宋_GB2312" w:eastAsia="方正仿宋_GB2312" w:cs="方正仿宋_GB2312"/>
                <w:sz w:val="24"/>
                <w:szCs w:val="24"/>
                <w:lang w:val="en-US" w:eastAsia="zh-CN" w:bidi="ar"/>
              </w:rPr>
              <w:t>外形：标准卡接式，适配所有 86 网络面板</w:t>
            </w:r>
            <w:r>
              <w:rPr>
                <w:rStyle w:val="6"/>
                <w:rFonts w:hint="eastAsia" w:ascii="方正仿宋_GB2312" w:hAnsi="方正仿宋_GB2312" w:eastAsia="方正仿宋_GB2312" w:cs="方正仿宋_GB2312"/>
                <w:sz w:val="24"/>
                <w:szCs w:val="24"/>
                <w:lang w:val="en-US" w:eastAsia="zh-CN" w:bidi="ar"/>
              </w:rPr>
              <w:br w:type="textWrapping"/>
            </w:r>
            <w:r>
              <w:rPr>
                <w:rStyle w:val="6"/>
                <w:rFonts w:hint="eastAsia" w:ascii="方正仿宋_GB2312" w:hAnsi="方正仿宋_GB2312" w:eastAsia="方正仿宋_GB2312" w:cs="方正仿宋_GB2312"/>
                <w:sz w:val="24"/>
                <w:szCs w:val="24"/>
                <w:lang w:val="en-US" w:eastAsia="zh-CN" w:bidi="ar"/>
              </w:rPr>
              <w:t>卡线端口：4 对 8 芯 IDC 卡槽</w:t>
            </w:r>
            <w:r>
              <w:rPr>
                <w:rStyle w:val="6"/>
                <w:rFonts w:hint="eastAsia" w:ascii="方正仿宋_GB2312" w:hAnsi="方正仿宋_GB2312" w:eastAsia="方正仿宋_GB2312" w:cs="方正仿宋_GB2312"/>
                <w:sz w:val="24"/>
                <w:szCs w:val="24"/>
                <w:lang w:val="en-US" w:eastAsia="zh-CN" w:bidi="ar"/>
              </w:rPr>
              <w:br w:type="textWrapping"/>
            </w:r>
            <w:r>
              <w:rPr>
                <w:rStyle w:val="6"/>
                <w:rFonts w:hint="eastAsia" w:ascii="方正仿宋_GB2312" w:hAnsi="方正仿宋_GB2312" w:eastAsia="方正仿宋_GB2312" w:cs="方正仿宋_GB2312"/>
                <w:sz w:val="24"/>
                <w:szCs w:val="24"/>
                <w:lang w:val="en-US" w:eastAsia="zh-CN" w:bidi="ar"/>
              </w:rPr>
              <w:t>防尘：自带防尘弹片</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7E4B9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215</w:t>
            </w:r>
          </w:p>
        </w:tc>
        <w:tc>
          <w:tcPr>
            <w:tcW w:w="4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06171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个</w:t>
            </w:r>
          </w:p>
        </w:tc>
      </w:tr>
      <w:tr w14:paraId="3DC70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807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31</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910DD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网络面板</w:t>
            </w:r>
          </w:p>
        </w:tc>
        <w:tc>
          <w:tcPr>
            <w:tcW w:w="28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70A06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单口面板，外形尺寸：标准 86 型 86×86mm</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安装孔距：60mm，通用 86 底盒</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款式：单口（1 位）网络面板</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材质：阻燃 ABS 塑料，纯白</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防火等级：UL94 V0 阻燃</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CE34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215</w:t>
            </w:r>
          </w:p>
        </w:tc>
        <w:tc>
          <w:tcPr>
            <w:tcW w:w="4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61F33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个</w:t>
            </w:r>
          </w:p>
        </w:tc>
      </w:tr>
      <w:tr w14:paraId="4A187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E3C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32</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5126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明装底盒</w:t>
            </w:r>
          </w:p>
        </w:tc>
        <w:tc>
          <w:tcPr>
            <w:tcW w:w="28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2714A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多联86#，标准尺寸：86×86×45mm / 86×86×50mm</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浅款：86×86×34mm；加深：86×86×60mm</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安装孔距：60mm（适配所有 86 型面板）</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材质：阻燃 PVC（全新料）</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防火等级：UL94 V-0（离火自熄）</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绝缘耐压：≥2000V</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工作温度：-20℃～+60℃</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颜色：白色（默认），红 / 蓝 / 黄（强弱电区分</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8296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215</w:t>
            </w:r>
          </w:p>
        </w:tc>
        <w:tc>
          <w:tcPr>
            <w:tcW w:w="4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25FA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个</w:t>
            </w:r>
          </w:p>
        </w:tc>
      </w:tr>
      <w:tr w14:paraId="5A1DB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CFEF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33</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EE8E2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网络跳线</w:t>
            </w:r>
          </w:p>
        </w:tc>
        <w:tc>
          <w:tcPr>
            <w:tcW w:w="28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8632F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六类非屏蔽3米规格，导体：24AWG 多股无氧铜（7×0.20mm）</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绝缘：高密度 PE</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骨架：十字隔离骨架（降串扰）</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护套：PVC / 低烟无卤 LSZH，外径6.0±0.3mm</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线对：4 对双绞线，绞距≤15mm</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8A0A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215</w:t>
            </w:r>
          </w:p>
        </w:tc>
        <w:tc>
          <w:tcPr>
            <w:tcW w:w="4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7FF9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根</w:t>
            </w:r>
          </w:p>
        </w:tc>
      </w:tr>
      <w:tr w14:paraId="1C80D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F558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34</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2F2E9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PVC线槽</w:t>
            </w:r>
          </w:p>
        </w:tc>
        <w:tc>
          <w:tcPr>
            <w:tcW w:w="28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7BDDF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39*18mm，材质：硬质阻燃 PVC（聚氯乙烯）</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防火等级：UL94 V-0（离火自熄）</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绝缘耐压：2500V/1min 不击穿</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工作温度：-40℃～+65℃</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颜色：灰色（默认）、白色 / 蓝色可选</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93719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1300</w:t>
            </w:r>
          </w:p>
        </w:tc>
        <w:tc>
          <w:tcPr>
            <w:tcW w:w="4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81A69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米</w:t>
            </w:r>
          </w:p>
        </w:tc>
      </w:tr>
      <w:tr w14:paraId="43217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6DE8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35</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21C50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桥架</w:t>
            </w:r>
          </w:p>
        </w:tc>
        <w:tc>
          <w:tcPr>
            <w:tcW w:w="28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0B6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喷塑钢材桥架100*100*1.2mm，A 级：W≤200mm，均布载荷 1.5kN/m，槽式（C）：全封闭，防尘抗干扰</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FDAE2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500</w:t>
            </w:r>
          </w:p>
        </w:tc>
        <w:tc>
          <w:tcPr>
            <w:tcW w:w="4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1F3D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米</w:t>
            </w:r>
          </w:p>
        </w:tc>
      </w:tr>
      <w:tr w14:paraId="16FD1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CD1D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36</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601ED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网络机柜24u</w:t>
            </w:r>
          </w:p>
        </w:tc>
        <w:tc>
          <w:tcPr>
            <w:tcW w:w="28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CA03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黑色，前门钢化玻璃，后门六角网孔，全部使用优质SPCC冷轧钢制作，全部使用优质SPCC冷轧钢制做，配件袋含：千斤顶4个，内六角螺丝若干，静音滚轮4个，接地柱1套，内六角扳手1个24U落地式</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535C2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4</w:t>
            </w:r>
          </w:p>
        </w:tc>
        <w:tc>
          <w:tcPr>
            <w:tcW w:w="4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1F6FF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个</w:t>
            </w:r>
          </w:p>
        </w:tc>
      </w:tr>
      <w:tr w14:paraId="00613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87B7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37</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D41D1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光纤点位实施</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374B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线槽、桥架、支架、活动地内明布放线缆。</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抽测电缆、清理槽道、布放、绑扎电缆、作标记、封堵出口等</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清理基层,安装托架,铺设面层,</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796EF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62</w:t>
            </w:r>
          </w:p>
        </w:tc>
        <w:tc>
          <w:tcPr>
            <w:tcW w:w="4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EC131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个</w:t>
            </w:r>
          </w:p>
        </w:tc>
      </w:tr>
      <w:tr w14:paraId="76040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4A3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38</w:t>
            </w:r>
          </w:p>
        </w:tc>
        <w:tc>
          <w:tcPr>
            <w:tcW w:w="75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8BFF7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网络点位实施</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A468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线槽、桥架、支架、活动地内明布放线缆。</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抽测电缆、清理槽道、布放、绑扎电缆、作标记、封堵出口等</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清理基层,安装托架,铺设面层,</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FC15B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215</w:t>
            </w:r>
          </w:p>
        </w:tc>
        <w:tc>
          <w:tcPr>
            <w:tcW w:w="43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EC982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个</w:t>
            </w:r>
          </w:p>
        </w:tc>
      </w:tr>
      <w:tr w14:paraId="4CE1D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3AA8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39</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8498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管路建设</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D54C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管网情况：所有主干光缆链路原有管网敷设较为混乱，估新建管网现场区域采用直埋方式，绿化区域埋深为0.4米，其他路面根据实际勘查情况而定，预埋管道选7孔梅花管。过路部分采用110/100mm(外径/内径)的钢管保护，埋深为0.5-0.8米，混凝土回填，沥青或水泥地面恢复，7孔梅花管，100碳素波纹管，dn100镀锌钢管</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DA57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260</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6DFD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米</w:t>
            </w:r>
          </w:p>
        </w:tc>
      </w:tr>
      <w:tr w14:paraId="09A5E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41A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40</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7E08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手孔井建设</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C0B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按照每隔60-100米设置一个管道井，管道井尺寸为400mm*600mm为基础，孔井间距最大不应超过150米，在管道分歧点、交叉路口和穿越路面处均需可设置孔井，井深根据实际开挖地确认，深度为0.5-0.8米范围，砖砌+球墨铸铁/高分子井盖</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1E47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17</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1F6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个</w:t>
            </w:r>
          </w:p>
        </w:tc>
      </w:tr>
      <w:tr w14:paraId="74A02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D841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41</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E5CA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弱电管网建设配件</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958A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50-100镀锌钢管，铝合金镀锌桥架（尺寸规格根据现场实际线缆容量而定），各种卡箍配件</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E5D7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C35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项</w:t>
            </w:r>
          </w:p>
        </w:tc>
      </w:tr>
      <w:tr w14:paraId="65BFA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8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41D0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42</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372B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主干光缆</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80A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Style w:val="8"/>
                <w:rFonts w:hint="eastAsia" w:ascii="方正仿宋_GB2312" w:hAnsi="方正仿宋_GB2312" w:eastAsia="方正仿宋_GB2312" w:cs="方正仿宋_GB2312"/>
                <w:sz w:val="24"/>
                <w:szCs w:val="24"/>
                <w:lang w:val="en-US" w:eastAsia="zh-CN" w:bidi="ar"/>
              </w:rPr>
              <w:t>24芯单模室外铠装光缆（含熔接以及配件），芯数：12 芯</w:t>
            </w:r>
            <w:r>
              <w:rPr>
                <w:rStyle w:val="8"/>
                <w:rFonts w:hint="eastAsia" w:ascii="方正仿宋_GB2312" w:hAnsi="方正仿宋_GB2312" w:eastAsia="方正仿宋_GB2312" w:cs="方正仿宋_GB2312"/>
                <w:sz w:val="24"/>
                <w:szCs w:val="24"/>
                <w:lang w:val="en-US" w:eastAsia="zh-CN" w:bidi="ar"/>
              </w:rPr>
              <w:br w:type="textWrapping"/>
            </w:r>
            <w:r>
              <w:rPr>
                <w:rStyle w:val="8"/>
                <w:rFonts w:hint="eastAsia" w:ascii="方正仿宋_GB2312" w:hAnsi="方正仿宋_GB2312" w:eastAsia="方正仿宋_GB2312" w:cs="方正仿宋_GB2312"/>
                <w:sz w:val="24"/>
                <w:szCs w:val="24"/>
                <w:lang w:val="en-US" w:eastAsia="zh-CN" w:bidi="ar"/>
              </w:rPr>
              <w:t>光纤规格：9</w:t>
            </w:r>
            <w:r>
              <w:rPr>
                <w:rFonts w:hint="eastAsia" w:ascii="方正仿宋_GB2312" w:hAnsi="方正仿宋_GB2312" w:eastAsia="方正仿宋_GB2312" w:cs="方正仿宋_GB2312"/>
                <w:i w:val="0"/>
                <w:iCs w:val="0"/>
                <w:color w:val="000000"/>
                <w:kern w:val="0"/>
                <w:sz w:val="24"/>
                <w:szCs w:val="24"/>
                <w:u w:val="none"/>
                <w:lang w:val="en-US" w:eastAsia="zh-CN" w:bidi="ar"/>
              </w:rPr>
              <w:t>μ</w:t>
            </w:r>
            <w:r>
              <w:rPr>
                <w:rStyle w:val="8"/>
                <w:rFonts w:hint="eastAsia" w:ascii="方正仿宋_GB2312" w:hAnsi="方正仿宋_GB2312" w:eastAsia="方正仿宋_GB2312" w:cs="方正仿宋_GB2312"/>
                <w:sz w:val="24"/>
                <w:szCs w:val="24"/>
                <w:lang w:val="en-US" w:eastAsia="zh-CN" w:bidi="ar"/>
              </w:rPr>
              <w:t>m（芯）/125</w:t>
            </w:r>
            <w:r>
              <w:rPr>
                <w:rFonts w:hint="eastAsia" w:ascii="方正仿宋_GB2312" w:hAnsi="方正仿宋_GB2312" w:eastAsia="方正仿宋_GB2312" w:cs="方正仿宋_GB2312"/>
                <w:i w:val="0"/>
                <w:iCs w:val="0"/>
                <w:color w:val="000000"/>
                <w:kern w:val="0"/>
                <w:sz w:val="24"/>
                <w:szCs w:val="24"/>
                <w:u w:val="none"/>
                <w:lang w:val="en-US" w:eastAsia="zh-CN" w:bidi="ar"/>
              </w:rPr>
              <w:t>μ</w:t>
            </w:r>
            <w:r>
              <w:rPr>
                <w:rStyle w:val="8"/>
                <w:rFonts w:hint="eastAsia" w:ascii="方正仿宋_GB2312" w:hAnsi="方正仿宋_GB2312" w:eastAsia="方正仿宋_GB2312" w:cs="方正仿宋_GB2312"/>
                <w:sz w:val="24"/>
                <w:szCs w:val="24"/>
                <w:lang w:val="en-US" w:eastAsia="zh-CN" w:bidi="ar"/>
              </w:rPr>
              <w:t>m（包层）</w:t>
            </w:r>
            <w:r>
              <w:rPr>
                <w:rStyle w:val="8"/>
                <w:rFonts w:hint="eastAsia" w:ascii="方正仿宋_GB2312" w:hAnsi="方正仿宋_GB2312" w:eastAsia="方正仿宋_GB2312" w:cs="方正仿宋_GB2312"/>
                <w:sz w:val="24"/>
                <w:szCs w:val="24"/>
                <w:lang w:val="en-US" w:eastAsia="zh-CN" w:bidi="ar"/>
              </w:rPr>
              <w:br w:type="textWrapping"/>
            </w:r>
            <w:r>
              <w:rPr>
                <w:rStyle w:val="8"/>
                <w:rFonts w:hint="eastAsia" w:ascii="方正仿宋_GB2312" w:hAnsi="方正仿宋_GB2312" w:eastAsia="方正仿宋_GB2312" w:cs="方正仿宋_GB2312"/>
                <w:sz w:val="24"/>
                <w:szCs w:val="24"/>
                <w:lang w:val="en-US" w:eastAsia="zh-CN" w:bidi="ar"/>
              </w:rPr>
              <w:t>型号：G.652D（B1.3，低水峰）</w:t>
            </w:r>
            <w:r>
              <w:rPr>
                <w:rStyle w:val="8"/>
                <w:rFonts w:hint="eastAsia" w:ascii="方正仿宋_GB2312" w:hAnsi="方正仿宋_GB2312" w:eastAsia="方正仿宋_GB2312" w:cs="方正仿宋_GB2312"/>
                <w:sz w:val="24"/>
                <w:szCs w:val="24"/>
                <w:lang w:val="en-US" w:eastAsia="zh-CN" w:bidi="ar"/>
              </w:rPr>
              <w:br w:type="textWrapping"/>
            </w:r>
            <w:r>
              <w:rPr>
                <w:rStyle w:val="8"/>
                <w:rFonts w:hint="eastAsia" w:ascii="方正仿宋_GB2312" w:hAnsi="方正仿宋_GB2312" w:eastAsia="方正仿宋_GB2312" w:cs="方正仿宋_GB2312"/>
                <w:sz w:val="24"/>
                <w:szCs w:val="24"/>
                <w:lang w:val="en-US" w:eastAsia="zh-CN" w:bidi="ar"/>
              </w:rPr>
              <w:t>工作波长：1310 nm、1550 nm</w:t>
            </w:r>
            <w:r>
              <w:rPr>
                <w:rStyle w:val="8"/>
                <w:rFonts w:hint="eastAsia" w:ascii="方正仿宋_GB2312" w:hAnsi="方正仿宋_GB2312" w:eastAsia="方正仿宋_GB2312" w:cs="方正仿宋_GB2312"/>
                <w:sz w:val="24"/>
                <w:szCs w:val="24"/>
                <w:lang w:val="en-US" w:eastAsia="zh-CN" w:bidi="ar"/>
              </w:rPr>
              <w:br w:type="textWrapping"/>
            </w:r>
            <w:r>
              <w:rPr>
                <w:rStyle w:val="8"/>
                <w:rFonts w:hint="eastAsia" w:ascii="方正仿宋_GB2312" w:hAnsi="方正仿宋_GB2312" w:eastAsia="方正仿宋_GB2312" w:cs="方正仿宋_GB2312"/>
                <w:sz w:val="24"/>
                <w:szCs w:val="24"/>
                <w:lang w:val="en-US" w:eastAsia="zh-CN" w:bidi="ar"/>
              </w:rPr>
              <w:t>衰减（20℃）：</w:t>
            </w:r>
            <w:r>
              <w:rPr>
                <w:rStyle w:val="8"/>
                <w:rFonts w:hint="eastAsia" w:ascii="方正仿宋_GB2312" w:hAnsi="方正仿宋_GB2312" w:eastAsia="方正仿宋_GB2312" w:cs="方正仿宋_GB2312"/>
                <w:sz w:val="24"/>
                <w:szCs w:val="24"/>
                <w:lang w:val="en-US" w:eastAsia="zh-CN" w:bidi="ar"/>
              </w:rPr>
              <w:br w:type="textWrapping"/>
            </w:r>
            <w:r>
              <w:rPr>
                <w:rStyle w:val="8"/>
                <w:rFonts w:hint="eastAsia" w:ascii="方正仿宋_GB2312" w:hAnsi="方正仿宋_GB2312" w:eastAsia="方正仿宋_GB2312" w:cs="方正仿宋_GB2312"/>
                <w:sz w:val="24"/>
                <w:szCs w:val="24"/>
                <w:lang w:val="en-US" w:eastAsia="zh-CN" w:bidi="ar"/>
              </w:rPr>
              <w:t>≤0.36 dB/km @1310 nm</w:t>
            </w:r>
            <w:r>
              <w:rPr>
                <w:rStyle w:val="8"/>
                <w:rFonts w:hint="eastAsia" w:ascii="方正仿宋_GB2312" w:hAnsi="方正仿宋_GB2312" w:eastAsia="方正仿宋_GB2312" w:cs="方正仿宋_GB2312"/>
                <w:sz w:val="24"/>
                <w:szCs w:val="24"/>
                <w:lang w:val="en-US" w:eastAsia="zh-CN" w:bidi="ar"/>
              </w:rPr>
              <w:br w:type="textWrapping"/>
            </w:r>
            <w:r>
              <w:rPr>
                <w:rStyle w:val="8"/>
                <w:rFonts w:hint="eastAsia" w:ascii="方正仿宋_GB2312" w:hAnsi="方正仿宋_GB2312" w:eastAsia="方正仿宋_GB2312" w:cs="方正仿宋_GB2312"/>
                <w:sz w:val="24"/>
                <w:szCs w:val="24"/>
                <w:lang w:val="en-US" w:eastAsia="zh-CN" w:bidi="ar"/>
              </w:rPr>
              <w:t>≤0.22 dB/km @1550 nm</w:t>
            </w:r>
            <w:r>
              <w:rPr>
                <w:rStyle w:val="8"/>
                <w:rFonts w:hint="eastAsia" w:ascii="方正仿宋_GB2312" w:hAnsi="方正仿宋_GB2312" w:eastAsia="方正仿宋_GB2312" w:cs="方正仿宋_GB2312"/>
                <w:sz w:val="24"/>
                <w:szCs w:val="24"/>
                <w:lang w:val="en-US" w:eastAsia="zh-CN" w:bidi="ar"/>
              </w:rPr>
              <w:br w:type="textWrapping"/>
            </w:r>
            <w:r>
              <w:rPr>
                <w:rStyle w:val="8"/>
                <w:rFonts w:hint="eastAsia" w:ascii="方正仿宋_GB2312" w:hAnsi="方正仿宋_GB2312" w:eastAsia="方正仿宋_GB2312" w:cs="方正仿宋_GB2312"/>
                <w:sz w:val="24"/>
                <w:szCs w:val="24"/>
                <w:lang w:val="en-US" w:eastAsia="zh-CN" w:bidi="ar"/>
              </w:rPr>
              <w:t>模场直径：9.2±0.4</w:t>
            </w:r>
            <w:r>
              <w:rPr>
                <w:rFonts w:hint="eastAsia" w:ascii="方正仿宋_GB2312" w:hAnsi="方正仿宋_GB2312" w:eastAsia="方正仿宋_GB2312" w:cs="方正仿宋_GB2312"/>
                <w:i w:val="0"/>
                <w:iCs w:val="0"/>
                <w:color w:val="000000"/>
                <w:kern w:val="0"/>
                <w:sz w:val="24"/>
                <w:szCs w:val="24"/>
                <w:u w:val="none"/>
                <w:lang w:val="en-US" w:eastAsia="zh-CN" w:bidi="ar"/>
              </w:rPr>
              <w:t>μ</w:t>
            </w:r>
            <w:r>
              <w:rPr>
                <w:rStyle w:val="8"/>
                <w:rFonts w:hint="eastAsia" w:ascii="方正仿宋_GB2312" w:hAnsi="方正仿宋_GB2312" w:eastAsia="方正仿宋_GB2312" w:cs="方正仿宋_GB2312"/>
                <w:sz w:val="24"/>
                <w:szCs w:val="24"/>
                <w:lang w:val="en-US" w:eastAsia="zh-CN" w:bidi="ar"/>
              </w:rPr>
              <w:t>m @1310 nm；10.4±0.5</w:t>
            </w:r>
            <w:r>
              <w:rPr>
                <w:rFonts w:hint="eastAsia" w:ascii="方正仿宋_GB2312" w:hAnsi="方正仿宋_GB2312" w:eastAsia="方正仿宋_GB2312" w:cs="方正仿宋_GB2312"/>
                <w:i w:val="0"/>
                <w:iCs w:val="0"/>
                <w:color w:val="000000"/>
                <w:kern w:val="0"/>
                <w:sz w:val="24"/>
                <w:szCs w:val="24"/>
                <w:u w:val="none"/>
                <w:lang w:val="en-US" w:eastAsia="zh-CN" w:bidi="ar"/>
              </w:rPr>
              <w:t>μ</w:t>
            </w:r>
            <w:r>
              <w:rPr>
                <w:rStyle w:val="8"/>
                <w:rFonts w:hint="eastAsia" w:ascii="方正仿宋_GB2312" w:hAnsi="方正仿宋_GB2312" w:eastAsia="方正仿宋_GB2312" w:cs="方正仿宋_GB2312"/>
                <w:sz w:val="24"/>
                <w:szCs w:val="24"/>
                <w:lang w:val="en-US" w:eastAsia="zh-CN" w:bidi="ar"/>
              </w:rPr>
              <w:t>m @1550 nm</w:t>
            </w:r>
            <w:r>
              <w:rPr>
                <w:rStyle w:val="8"/>
                <w:rFonts w:hint="eastAsia" w:ascii="方正仿宋_GB2312" w:hAnsi="方正仿宋_GB2312" w:eastAsia="方正仿宋_GB2312" w:cs="方正仿宋_GB2312"/>
                <w:sz w:val="24"/>
                <w:szCs w:val="24"/>
                <w:lang w:val="en-US" w:eastAsia="zh-CN" w:bidi="ar"/>
              </w:rPr>
              <w:br w:type="textWrapping"/>
            </w:r>
            <w:r>
              <w:rPr>
                <w:rStyle w:val="8"/>
                <w:rFonts w:hint="eastAsia" w:ascii="方正仿宋_GB2312" w:hAnsi="方正仿宋_GB2312" w:eastAsia="方正仿宋_GB2312" w:cs="方正仿宋_GB2312"/>
                <w:sz w:val="24"/>
                <w:szCs w:val="24"/>
                <w:lang w:val="en-US" w:eastAsia="zh-CN" w:bidi="ar"/>
              </w:rPr>
              <w:t>包层不圆度：≤1.0%</w:t>
            </w:r>
            <w:r>
              <w:rPr>
                <w:rStyle w:val="8"/>
                <w:rFonts w:hint="eastAsia" w:ascii="方正仿宋_GB2312" w:hAnsi="方正仿宋_GB2312" w:eastAsia="方正仿宋_GB2312" w:cs="方正仿宋_GB2312"/>
                <w:sz w:val="24"/>
                <w:szCs w:val="24"/>
                <w:lang w:val="en-US" w:eastAsia="zh-CN" w:bidi="ar"/>
              </w:rPr>
              <w:br w:type="textWrapping"/>
            </w:r>
            <w:r>
              <w:rPr>
                <w:rStyle w:val="8"/>
                <w:rFonts w:hint="eastAsia" w:ascii="方正仿宋_GB2312" w:hAnsi="方正仿宋_GB2312" w:eastAsia="方正仿宋_GB2312" w:cs="方正仿宋_GB2312"/>
                <w:sz w:val="24"/>
                <w:szCs w:val="24"/>
                <w:lang w:val="en-US" w:eastAsia="zh-CN" w:bidi="ar"/>
              </w:rPr>
              <w:t>芯数：12 芯</w:t>
            </w:r>
            <w:r>
              <w:rPr>
                <w:rStyle w:val="8"/>
                <w:rFonts w:hint="eastAsia" w:ascii="方正仿宋_GB2312" w:hAnsi="方正仿宋_GB2312" w:eastAsia="方正仿宋_GB2312" w:cs="方正仿宋_GB2312"/>
                <w:sz w:val="24"/>
                <w:szCs w:val="24"/>
                <w:lang w:val="en-US" w:eastAsia="zh-CN" w:bidi="ar"/>
              </w:rPr>
              <w:br w:type="textWrapping"/>
            </w:r>
            <w:r>
              <w:rPr>
                <w:rStyle w:val="8"/>
                <w:rFonts w:hint="eastAsia" w:ascii="方正仿宋_GB2312" w:hAnsi="方正仿宋_GB2312" w:eastAsia="方正仿宋_GB2312" w:cs="方正仿宋_GB2312"/>
                <w:sz w:val="24"/>
                <w:szCs w:val="24"/>
                <w:lang w:val="en-US" w:eastAsia="zh-CN" w:bidi="ar"/>
              </w:rPr>
              <w:t>光纤规格：9</w:t>
            </w:r>
            <w:r>
              <w:rPr>
                <w:rFonts w:hint="eastAsia" w:ascii="方正仿宋_GB2312" w:hAnsi="方正仿宋_GB2312" w:eastAsia="方正仿宋_GB2312" w:cs="方正仿宋_GB2312"/>
                <w:i w:val="0"/>
                <w:iCs w:val="0"/>
                <w:color w:val="000000"/>
                <w:kern w:val="0"/>
                <w:sz w:val="24"/>
                <w:szCs w:val="24"/>
                <w:u w:val="none"/>
                <w:lang w:val="en-US" w:eastAsia="zh-CN" w:bidi="ar"/>
              </w:rPr>
              <w:t>μ</w:t>
            </w:r>
            <w:r>
              <w:rPr>
                <w:rStyle w:val="8"/>
                <w:rFonts w:hint="eastAsia" w:ascii="方正仿宋_GB2312" w:hAnsi="方正仿宋_GB2312" w:eastAsia="方正仿宋_GB2312" w:cs="方正仿宋_GB2312"/>
                <w:sz w:val="24"/>
                <w:szCs w:val="24"/>
                <w:lang w:val="en-US" w:eastAsia="zh-CN" w:bidi="ar"/>
              </w:rPr>
              <w:t>m（芯）/125</w:t>
            </w:r>
            <w:r>
              <w:rPr>
                <w:rFonts w:hint="eastAsia" w:ascii="方正仿宋_GB2312" w:hAnsi="方正仿宋_GB2312" w:eastAsia="方正仿宋_GB2312" w:cs="方正仿宋_GB2312"/>
                <w:i w:val="0"/>
                <w:iCs w:val="0"/>
                <w:color w:val="000000"/>
                <w:kern w:val="0"/>
                <w:sz w:val="24"/>
                <w:szCs w:val="24"/>
                <w:u w:val="none"/>
                <w:lang w:val="en-US" w:eastAsia="zh-CN" w:bidi="ar"/>
              </w:rPr>
              <w:t>μ</w:t>
            </w:r>
            <w:r>
              <w:rPr>
                <w:rStyle w:val="8"/>
                <w:rFonts w:hint="eastAsia" w:ascii="方正仿宋_GB2312" w:hAnsi="方正仿宋_GB2312" w:eastAsia="方正仿宋_GB2312" w:cs="方正仿宋_GB2312"/>
                <w:sz w:val="24"/>
                <w:szCs w:val="24"/>
                <w:lang w:val="en-US" w:eastAsia="zh-CN" w:bidi="ar"/>
              </w:rPr>
              <w:t>m（包层）</w:t>
            </w:r>
            <w:r>
              <w:rPr>
                <w:rStyle w:val="8"/>
                <w:rFonts w:hint="eastAsia" w:ascii="方正仿宋_GB2312" w:hAnsi="方正仿宋_GB2312" w:eastAsia="方正仿宋_GB2312" w:cs="方正仿宋_GB2312"/>
                <w:sz w:val="24"/>
                <w:szCs w:val="24"/>
                <w:lang w:val="en-US" w:eastAsia="zh-CN" w:bidi="ar"/>
              </w:rPr>
              <w:br w:type="textWrapping"/>
            </w:r>
            <w:r>
              <w:rPr>
                <w:rStyle w:val="8"/>
                <w:rFonts w:hint="eastAsia" w:ascii="方正仿宋_GB2312" w:hAnsi="方正仿宋_GB2312" w:eastAsia="方正仿宋_GB2312" w:cs="方正仿宋_GB2312"/>
                <w:sz w:val="24"/>
                <w:szCs w:val="24"/>
                <w:lang w:val="en-US" w:eastAsia="zh-CN" w:bidi="ar"/>
              </w:rPr>
              <w:t>型号：G.652D（B1.3，低水峰）</w:t>
            </w:r>
            <w:r>
              <w:rPr>
                <w:rStyle w:val="8"/>
                <w:rFonts w:hint="eastAsia" w:ascii="方正仿宋_GB2312" w:hAnsi="方正仿宋_GB2312" w:eastAsia="方正仿宋_GB2312" w:cs="方正仿宋_GB2312"/>
                <w:sz w:val="24"/>
                <w:szCs w:val="24"/>
                <w:lang w:val="en-US" w:eastAsia="zh-CN" w:bidi="ar"/>
              </w:rPr>
              <w:br w:type="textWrapping"/>
            </w:r>
            <w:r>
              <w:rPr>
                <w:rStyle w:val="8"/>
                <w:rFonts w:hint="eastAsia" w:ascii="方正仿宋_GB2312" w:hAnsi="方正仿宋_GB2312" w:eastAsia="方正仿宋_GB2312" w:cs="方正仿宋_GB2312"/>
                <w:sz w:val="24"/>
                <w:szCs w:val="24"/>
                <w:lang w:val="en-US" w:eastAsia="zh-CN" w:bidi="ar"/>
              </w:rPr>
              <w:t>工作波长：1310 nm、1550 nm</w:t>
            </w:r>
            <w:r>
              <w:rPr>
                <w:rStyle w:val="8"/>
                <w:rFonts w:hint="eastAsia" w:ascii="方正仿宋_GB2312" w:hAnsi="方正仿宋_GB2312" w:eastAsia="方正仿宋_GB2312" w:cs="方正仿宋_GB2312"/>
                <w:sz w:val="24"/>
                <w:szCs w:val="24"/>
                <w:lang w:val="en-US" w:eastAsia="zh-CN" w:bidi="ar"/>
              </w:rPr>
              <w:br w:type="textWrapping"/>
            </w:r>
            <w:r>
              <w:rPr>
                <w:rStyle w:val="8"/>
                <w:rFonts w:hint="eastAsia" w:ascii="方正仿宋_GB2312" w:hAnsi="方正仿宋_GB2312" w:eastAsia="方正仿宋_GB2312" w:cs="方正仿宋_GB2312"/>
                <w:sz w:val="24"/>
                <w:szCs w:val="24"/>
                <w:lang w:val="en-US" w:eastAsia="zh-CN" w:bidi="ar"/>
              </w:rPr>
              <w:t>衰减（20℃）：</w:t>
            </w:r>
            <w:r>
              <w:rPr>
                <w:rStyle w:val="8"/>
                <w:rFonts w:hint="eastAsia" w:ascii="方正仿宋_GB2312" w:hAnsi="方正仿宋_GB2312" w:eastAsia="方正仿宋_GB2312" w:cs="方正仿宋_GB2312"/>
                <w:sz w:val="24"/>
                <w:szCs w:val="24"/>
                <w:lang w:val="en-US" w:eastAsia="zh-CN" w:bidi="ar"/>
              </w:rPr>
              <w:br w:type="textWrapping"/>
            </w:r>
            <w:r>
              <w:rPr>
                <w:rStyle w:val="8"/>
                <w:rFonts w:hint="eastAsia" w:ascii="方正仿宋_GB2312" w:hAnsi="方正仿宋_GB2312" w:eastAsia="方正仿宋_GB2312" w:cs="方正仿宋_GB2312"/>
                <w:sz w:val="24"/>
                <w:szCs w:val="24"/>
                <w:lang w:val="en-US" w:eastAsia="zh-CN" w:bidi="ar"/>
              </w:rPr>
              <w:t>≤0.36 dB/km @1310 nm</w:t>
            </w:r>
            <w:r>
              <w:rPr>
                <w:rStyle w:val="8"/>
                <w:rFonts w:hint="eastAsia" w:ascii="方正仿宋_GB2312" w:hAnsi="方正仿宋_GB2312" w:eastAsia="方正仿宋_GB2312" w:cs="方正仿宋_GB2312"/>
                <w:sz w:val="24"/>
                <w:szCs w:val="24"/>
                <w:lang w:val="en-US" w:eastAsia="zh-CN" w:bidi="ar"/>
              </w:rPr>
              <w:br w:type="textWrapping"/>
            </w:r>
            <w:r>
              <w:rPr>
                <w:rStyle w:val="8"/>
                <w:rFonts w:hint="eastAsia" w:ascii="方正仿宋_GB2312" w:hAnsi="方正仿宋_GB2312" w:eastAsia="方正仿宋_GB2312" w:cs="方正仿宋_GB2312"/>
                <w:sz w:val="24"/>
                <w:szCs w:val="24"/>
                <w:lang w:val="en-US" w:eastAsia="zh-CN" w:bidi="ar"/>
              </w:rPr>
              <w:t>≤0.22 dB/km @1550 nm</w:t>
            </w:r>
            <w:r>
              <w:rPr>
                <w:rStyle w:val="8"/>
                <w:rFonts w:hint="eastAsia" w:ascii="方正仿宋_GB2312" w:hAnsi="方正仿宋_GB2312" w:eastAsia="方正仿宋_GB2312" w:cs="方正仿宋_GB2312"/>
                <w:sz w:val="24"/>
                <w:szCs w:val="24"/>
                <w:lang w:val="en-US" w:eastAsia="zh-CN" w:bidi="ar"/>
              </w:rPr>
              <w:br w:type="textWrapping"/>
            </w:r>
            <w:r>
              <w:rPr>
                <w:rStyle w:val="8"/>
                <w:rFonts w:hint="eastAsia" w:ascii="方正仿宋_GB2312" w:hAnsi="方正仿宋_GB2312" w:eastAsia="方正仿宋_GB2312" w:cs="方正仿宋_GB2312"/>
                <w:sz w:val="24"/>
                <w:szCs w:val="24"/>
                <w:lang w:val="en-US" w:eastAsia="zh-CN" w:bidi="ar"/>
              </w:rPr>
              <w:t>模场直径：9.2±0.4</w:t>
            </w:r>
            <w:r>
              <w:rPr>
                <w:rFonts w:hint="eastAsia" w:ascii="方正仿宋_GB2312" w:hAnsi="方正仿宋_GB2312" w:eastAsia="方正仿宋_GB2312" w:cs="方正仿宋_GB2312"/>
                <w:i w:val="0"/>
                <w:iCs w:val="0"/>
                <w:color w:val="000000"/>
                <w:kern w:val="0"/>
                <w:sz w:val="24"/>
                <w:szCs w:val="24"/>
                <w:u w:val="none"/>
                <w:lang w:val="en-US" w:eastAsia="zh-CN" w:bidi="ar"/>
              </w:rPr>
              <w:t>μ</w:t>
            </w:r>
            <w:r>
              <w:rPr>
                <w:rStyle w:val="8"/>
                <w:rFonts w:hint="eastAsia" w:ascii="方正仿宋_GB2312" w:hAnsi="方正仿宋_GB2312" w:eastAsia="方正仿宋_GB2312" w:cs="方正仿宋_GB2312"/>
                <w:sz w:val="24"/>
                <w:szCs w:val="24"/>
                <w:lang w:val="en-US" w:eastAsia="zh-CN" w:bidi="ar"/>
              </w:rPr>
              <w:t>m @1310 nm；10.4±0.5</w:t>
            </w:r>
            <w:r>
              <w:rPr>
                <w:rFonts w:hint="eastAsia" w:ascii="方正仿宋_GB2312" w:hAnsi="方正仿宋_GB2312" w:eastAsia="方正仿宋_GB2312" w:cs="方正仿宋_GB2312"/>
                <w:i w:val="0"/>
                <w:iCs w:val="0"/>
                <w:color w:val="000000"/>
                <w:kern w:val="0"/>
                <w:sz w:val="24"/>
                <w:szCs w:val="24"/>
                <w:u w:val="none"/>
                <w:lang w:val="en-US" w:eastAsia="zh-CN" w:bidi="ar"/>
              </w:rPr>
              <w:t>μ</w:t>
            </w:r>
            <w:r>
              <w:rPr>
                <w:rStyle w:val="8"/>
                <w:rFonts w:hint="eastAsia" w:ascii="方正仿宋_GB2312" w:hAnsi="方正仿宋_GB2312" w:eastAsia="方正仿宋_GB2312" w:cs="方正仿宋_GB2312"/>
                <w:sz w:val="24"/>
                <w:szCs w:val="24"/>
                <w:lang w:val="en-US" w:eastAsia="zh-CN" w:bidi="ar"/>
              </w:rPr>
              <w:t>m @1550 nm</w:t>
            </w:r>
            <w:r>
              <w:rPr>
                <w:rStyle w:val="8"/>
                <w:rFonts w:hint="eastAsia" w:ascii="方正仿宋_GB2312" w:hAnsi="方正仿宋_GB2312" w:eastAsia="方正仿宋_GB2312" w:cs="方正仿宋_GB2312"/>
                <w:sz w:val="24"/>
                <w:szCs w:val="24"/>
                <w:lang w:val="en-US" w:eastAsia="zh-CN" w:bidi="ar"/>
              </w:rPr>
              <w:br w:type="textWrapping"/>
            </w:r>
            <w:r>
              <w:rPr>
                <w:rStyle w:val="8"/>
                <w:rFonts w:hint="eastAsia" w:ascii="方正仿宋_GB2312" w:hAnsi="方正仿宋_GB2312" w:eastAsia="方正仿宋_GB2312" w:cs="方正仿宋_GB2312"/>
                <w:sz w:val="24"/>
                <w:szCs w:val="24"/>
                <w:lang w:val="en-US" w:eastAsia="zh-CN" w:bidi="ar"/>
              </w:rPr>
              <w:t>包层不圆度：≤1.0%</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AFB0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3000</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4335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米</w:t>
            </w:r>
          </w:p>
        </w:tc>
      </w:tr>
      <w:tr w14:paraId="60A56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8FD6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43</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FA96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水晶头</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5536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六类非屏蔽，名称：六类非屏蔽水晶头（CAT6 UTP RJ45 Plug）</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结构：8P8C（8 针 8 芯），非屏蔽（UTP）</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执行标准：</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TIA/EIA-568.2-D（CAT6）</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ISO/IEC 11801 Class E（250MHz）</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YD/T 1019（国标）</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RoHS 环保</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适用网线：23–26 AWG 六类非屏蔽双绞线（UTP）</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8C1F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4</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AEF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盒</w:t>
            </w:r>
          </w:p>
        </w:tc>
      </w:tr>
      <w:tr w14:paraId="6E4B2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E540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44</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C7D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线路敷设</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6684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线路敷设、成端、整理标识标记</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EBA1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142</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A4FC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点</w:t>
            </w:r>
          </w:p>
        </w:tc>
      </w:tr>
      <w:tr w14:paraId="3418A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8FB3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45</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43C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设备安装</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81F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开箱检验、设备组装、检查基础。</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接头制作、接地安装(接地连接)、前端设备安装、前端设备调试、线缆测试、整理、标示</w:t>
            </w:r>
            <w:r>
              <w:rPr>
                <w:rFonts w:hint="eastAsia" w:ascii="方正仿宋_GB2312" w:hAnsi="方正仿宋_GB2312" w:eastAsia="方正仿宋_GB2312" w:cs="方正仿宋_GB2312"/>
                <w:i w:val="0"/>
                <w:iCs w:val="0"/>
                <w:color w:val="000000"/>
                <w:kern w:val="0"/>
                <w:sz w:val="24"/>
                <w:szCs w:val="24"/>
                <w:u w:val="none"/>
                <w:lang w:val="en-US" w:eastAsia="zh-CN" w:bidi="ar"/>
              </w:rPr>
              <w:br w:type="textWrapping"/>
            </w:r>
            <w:r>
              <w:rPr>
                <w:rFonts w:hint="eastAsia" w:ascii="方正仿宋_GB2312" w:hAnsi="方正仿宋_GB2312" w:eastAsia="方正仿宋_GB2312" w:cs="方正仿宋_GB2312"/>
                <w:i w:val="0"/>
                <w:iCs w:val="0"/>
                <w:color w:val="000000"/>
                <w:kern w:val="0"/>
                <w:sz w:val="24"/>
                <w:szCs w:val="24"/>
                <w:u w:val="none"/>
                <w:lang w:val="en-US" w:eastAsia="zh-CN" w:bidi="ar"/>
              </w:rPr>
              <w:t>指标测试、功能测试</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1D5D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758</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342F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套</w:t>
            </w:r>
          </w:p>
        </w:tc>
      </w:tr>
      <w:tr w14:paraId="6B6D2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19B8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46</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764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实施管材</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5ED6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线管线槽各种规格</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42E7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2000</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0E0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米</w:t>
            </w:r>
          </w:p>
        </w:tc>
      </w:tr>
      <w:tr w14:paraId="736F1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4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9FF5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47</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1324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实施辅材</w:t>
            </w:r>
          </w:p>
        </w:tc>
        <w:tc>
          <w:tcPr>
            <w:tcW w:w="28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40E8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扎带.胶布，等等</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AD2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1</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6BFB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kern w:val="0"/>
                <w:sz w:val="24"/>
                <w:szCs w:val="24"/>
                <w:u w:val="none"/>
                <w:lang w:val="en-US" w:eastAsia="zh-CN" w:bidi="ar"/>
              </w:rPr>
              <w:t>项</w:t>
            </w:r>
          </w:p>
        </w:tc>
      </w:tr>
    </w:tbl>
    <w:p w14:paraId="03981F34">
      <w:pPr>
        <w:widowControl w:val="0"/>
        <w:numPr>
          <w:ilvl w:val="0"/>
          <w:numId w:val="0"/>
        </w:numPr>
        <w:jc w:val="both"/>
        <w:rPr>
          <w:rFonts w:hint="eastAsia" w:ascii="方正仿宋_GB2312" w:hAnsi="方正仿宋_GB2312" w:eastAsia="方正仿宋_GB2312" w:cs="方正仿宋_GB2312"/>
          <w:sz w:val="28"/>
          <w:szCs w:val="28"/>
          <w:lang w:val="en-US" w:eastAsia="zh-CN"/>
        </w:rPr>
      </w:pPr>
    </w:p>
    <w:p w14:paraId="39518419">
      <w:pPr>
        <w:pStyle w:val="2"/>
        <w:bidi w:val="0"/>
        <w:rPr>
          <w:rFonts w:hint="eastAsia"/>
          <w:lang w:val="en-US" w:eastAsia="zh-CN"/>
        </w:rPr>
      </w:pPr>
      <w:r>
        <w:rPr>
          <w:rFonts w:hint="eastAsia"/>
          <w:lang w:val="en-US" w:eastAsia="zh-CN"/>
        </w:rPr>
        <w:t>报价要求</w:t>
      </w:r>
    </w:p>
    <w:p w14:paraId="13BCBFF0">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本次建设项目为工程类建设项目，各参与调研的供应商需提交</w:t>
      </w:r>
      <w:r>
        <w:rPr>
          <w:rFonts w:hint="eastAsia" w:ascii="方正仿宋_GB2312" w:hAnsi="方正仿宋_GB2312" w:eastAsia="方正仿宋_GB2312" w:cs="方正仿宋_GB2312"/>
          <w:b/>
          <w:bCs/>
          <w:sz w:val="28"/>
          <w:szCs w:val="28"/>
          <w:lang w:val="en-US" w:eastAsia="zh-CN"/>
        </w:rPr>
        <w:t>项目技术建设方案、包含详细参数指标的设备清单和工程量清单报价</w:t>
      </w:r>
      <w:r>
        <w:rPr>
          <w:rFonts w:hint="eastAsia" w:ascii="方正仿宋_GB2312" w:hAnsi="方正仿宋_GB2312" w:eastAsia="方正仿宋_GB2312" w:cs="方正仿宋_GB2312"/>
          <w:sz w:val="28"/>
          <w:szCs w:val="28"/>
          <w:lang w:val="en-US" w:eastAsia="zh-CN"/>
        </w:rPr>
        <w:t>。</w:t>
      </w:r>
    </w:p>
    <w:p w14:paraId="16790BA4">
      <w:pPr>
        <w:widowControl w:val="0"/>
        <w:numPr>
          <w:ilvl w:val="0"/>
          <w:numId w:val="0"/>
        </w:numPr>
        <w:ind w:firstLine="560" w:firstLineChars="200"/>
        <w:jc w:val="both"/>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工程量清单报价需包含以下内容：</w:t>
      </w:r>
    </w:p>
    <w:p w14:paraId="20C81150">
      <w:pPr>
        <w:widowControl w:val="0"/>
        <w:numPr>
          <w:ilvl w:val="0"/>
          <w:numId w:val="0"/>
        </w:numPr>
        <w:ind w:firstLine="560" w:firstLineChars="200"/>
        <w:jc w:val="both"/>
        <w:rPr>
          <w:rFonts w:hint="default" w:ascii="方正仿宋_GB2312" w:hAnsi="方正仿宋_GB2312" w:eastAsia="方正仿宋_GB2312" w:cs="方正仿宋_GB2312"/>
          <w:sz w:val="28"/>
          <w:szCs w:val="28"/>
          <w:lang w:val="en-US" w:eastAsia="zh-CN"/>
        </w:rPr>
      </w:pPr>
      <w:r>
        <w:rPr>
          <w:rFonts w:hint="default" w:ascii="方正仿宋_GB2312" w:hAnsi="方正仿宋_GB2312" w:eastAsia="方正仿宋_GB2312" w:cs="方正仿宋_GB2312"/>
          <w:sz w:val="28"/>
          <w:szCs w:val="28"/>
          <w:lang w:val="en-US" w:eastAsia="zh-CN"/>
        </w:rPr>
        <w:t>1.清单说明:计价规范、取费标准、风险范围;</w:t>
      </w:r>
    </w:p>
    <w:p w14:paraId="76653A5E">
      <w:pPr>
        <w:widowControl w:val="0"/>
        <w:numPr>
          <w:ilvl w:val="0"/>
          <w:numId w:val="0"/>
        </w:numPr>
        <w:ind w:firstLine="560" w:firstLineChars="200"/>
        <w:jc w:val="both"/>
        <w:rPr>
          <w:rFonts w:hint="default" w:ascii="方正仿宋_GB2312" w:hAnsi="方正仿宋_GB2312" w:eastAsia="方正仿宋_GB2312" w:cs="方正仿宋_GB2312"/>
          <w:sz w:val="28"/>
          <w:szCs w:val="28"/>
          <w:lang w:val="en-US" w:eastAsia="zh-CN"/>
        </w:rPr>
      </w:pPr>
      <w:r>
        <w:rPr>
          <w:rFonts w:hint="default" w:ascii="方正仿宋_GB2312" w:hAnsi="方正仿宋_GB2312" w:eastAsia="方正仿宋_GB2312" w:cs="方正仿宋_GB2312"/>
          <w:sz w:val="28"/>
          <w:szCs w:val="28"/>
          <w:lang w:val="en-US" w:eastAsia="zh-CN"/>
        </w:rPr>
        <w:t>2.分部分项工程量清单(含弱电/智能化子目);</w:t>
      </w:r>
    </w:p>
    <w:p w14:paraId="23CF91A0">
      <w:pPr>
        <w:widowControl w:val="0"/>
        <w:numPr>
          <w:ilvl w:val="0"/>
          <w:numId w:val="0"/>
        </w:numPr>
        <w:ind w:firstLine="560" w:firstLineChars="200"/>
        <w:jc w:val="both"/>
        <w:rPr>
          <w:rFonts w:hint="default" w:ascii="方正仿宋_GB2312" w:hAnsi="方正仿宋_GB2312" w:eastAsia="方正仿宋_GB2312" w:cs="方正仿宋_GB2312"/>
          <w:sz w:val="28"/>
          <w:szCs w:val="28"/>
          <w:lang w:val="en-US" w:eastAsia="zh-CN"/>
        </w:rPr>
      </w:pPr>
      <w:r>
        <w:rPr>
          <w:rFonts w:hint="default" w:ascii="方正仿宋_GB2312" w:hAnsi="方正仿宋_GB2312" w:eastAsia="方正仿宋_GB2312" w:cs="方正仿宋_GB2312"/>
          <w:sz w:val="28"/>
          <w:szCs w:val="28"/>
          <w:lang w:val="en-US" w:eastAsia="zh-CN"/>
        </w:rPr>
        <w:t>3.措施项目清单(安全文明、临时设施、夜间施工等);</w:t>
      </w:r>
    </w:p>
    <w:p w14:paraId="740DC636">
      <w:pPr>
        <w:widowControl w:val="0"/>
        <w:numPr>
          <w:ilvl w:val="0"/>
          <w:numId w:val="0"/>
        </w:numPr>
        <w:ind w:firstLine="560" w:firstLineChars="200"/>
        <w:jc w:val="both"/>
        <w:rPr>
          <w:rFonts w:hint="default" w:ascii="方正仿宋_GB2312" w:hAnsi="方正仿宋_GB2312" w:eastAsia="方正仿宋_GB2312" w:cs="方正仿宋_GB2312"/>
          <w:sz w:val="28"/>
          <w:szCs w:val="28"/>
          <w:lang w:val="en-US" w:eastAsia="zh-CN"/>
        </w:rPr>
      </w:pPr>
      <w:r>
        <w:rPr>
          <w:rFonts w:hint="default" w:ascii="方正仿宋_GB2312" w:hAnsi="方正仿宋_GB2312" w:eastAsia="方正仿宋_GB2312" w:cs="方正仿宋_GB2312"/>
          <w:sz w:val="28"/>
          <w:szCs w:val="28"/>
          <w:lang w:val="en-US" w:eastAsia="zh-CN"/>
        </w:rPr>
        <w:t>4.其他项目清单(暂列、暂估、计日工、总包服务费);</w:t>
      </w:r>
    </w:p>
    <w:p w14:paraId="36AF86D8">
      <w:pPr>
        <w:widowControl w:val="0"/>
        <w:numPr>
          <w:ilvl w:val="0"/>
          <w:numId w:val="0"/>
        </w:numPr>
        <w:ind w:firstLine="560" w:firstLineChars="200"/>
        <w:jc w:val="both"/>
        <w:rPr>
          <w:rFonts w:hint="default" w:ascii="方正仿宋_GB2312" w:hAnsi="方正仿宋_GB2312" w:eastAsia="方正仿宋_GB2312" w:cs="方正仿宋_GB2312"/>
          <w:sz w:val="28"/>
          <w:szCs w:val="28"/>
          <w:lang w:val="en-US" w:eastAsia="zh-CN"/>
        </w:rPr>
      </w:pPr>
      <w:r>
        <w:rPr>
          <w:rFonts w:hint="default" w:ascii="方正仿宋_GB2312" w:hAnsi="方正仿宋_GB2312" w:eastAsia="方正仿宋_GB2312" w:cs="方正仿宋_GB2312"/>
          <w:sz w:val="28"/>
          <w:szCs w:val="28"/>
          <w:lang w:val="en-US" w:eastAsia="zh-CN"/>
        </w:rPr>
        <w:t>5.规费、税金项目清单。</w:t>
      </w:r>
    </w:p>
    <w:p w14:paraId="3C2A4DE1">
      <w:pPr>
        <w:widowControl w:val="0"/>
        <w:numPr>
          <w:ilvl w:val="0"/>
          <w:numId w:val="0"/>
        </w:numPr>
        <w:ind w:firstLine="560" w:firstLineChars="200"/>
        <w:jc w:val="both"/>
        <w:rPr>
          <w:rFonts w:hint="default"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本次工程价格调研报价，全部统一采用四川省现行生效建设工程计价定额、最新人工费调整、材料价差及配套取费文件进行组价报价，严格执行四川省本地工程计价全部标准及政策，所有费率、税费、措施费、规费均按四川现行规定标准计取，未按四川定额体系编制的报价一律作废。</w:t>
      </w:r>
    </w:p>
    <w:p w14:paraId="3ED0A248">
      <w:pPr>
        <w:widowControl w:val="0"/>
        <w:numPr>
          <w:ilvl w:val="0"/>
          <w:numId w:val="0"/>
        </w:numPr>
        <w:ind w:firstLine="560" w:firstLineChars="200"/>
        <w:jc w:val="both"/>
        <w:rPr>
          <w:rFonts w:hint="default"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工程报价清单需提交excel格式和GCFX格式的清单各一份，只提供excel格式清单的报价将不予接受。</w:t>
      </w:r>
    </w:p>
    <w:p w14:paraId="3C46B5AB">
      <w:pPr>
        <w:keepNext w:val="0"/>
        <w:keepLines w:val="0"/>
        <w:pageBreakBefore w:val="0"/>
        <w:widowControl w:val="0"/>
        <w:kinsoku/>
        <w:wordWrap/>
        <w:overflowPunct/>
        <w:topLinePunct w:val="0"/>
        <w:autoSpaceDE/>
        <w:autoSpaceDN/>
        <w:bidi w:val="0"/>
        <w:adjustRightInd/>
        <w:snapToGrid/>
        <w:spacing w:line="579" w:lineRule="exact"/>
        <w:ind w:firstLine="560" w:firstLineChars="200"/>
        <w:jc w:val="both"/>
        <w:textAlignment w:val="auto"/>
        <w:rPr>
          <w:rFonts w:hint="eastAsia" w:ascii="仿宋_GB2312" w:hAnsi="仿宋_GB2312" w:eastAsia="仿宋_GB2312" w:cs="仿宋_GB2312"/>
          <w:sz w:val="28"/>
          <w:szCs w:val="28"/>
          <w:vertAlign w:val="baseline"/>
          <w:lang w:val="en-US" w:eastAsia="zh-CN"/>
        </w:rPr>
      </w:pPr>
    </w:p>
    <w:p w14:paraId="2307F748">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_GB2312">
    <w:altName w:val="仿宋"/>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8852770">
    <w:panose1 w:val="02010609060101010101"/>
    <w:charset w:val="86"/>
    <w:family w:val="auto"/>
    <w:pitch w:val="default"/>
    <w:sig w:usb0="00000001" w:usb1="00000000" w:usb2="00000000" w:usb3="00000000" w:csb0="00040001" w:csb1="00000000"/>
  </w:font>
  <w:font w:name="KSOFE8859BCF">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351351"/>
    <w:rsid w:val="1A3513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customStyle="1" w:styleId="6">
    <w:name w:val="font41"/>
    <w:basedOn w:val="5"/>
    <w:qFormat/>
    <w:uiPriority w:val="0"/>
    <w:rPr>
      <w:rFonts w:hint="eastAsia" w:ascii="宋体" w:hAnsi="宋体" w:eastAsia="宋体" w:cs="宋体"/>
      <w:color w:val="000000"/>
      <w:sz w:val="20"/>
      <w:szCs w:val="20"/>
      <w:u w:val="none"/>
    </w:rPr>
  </w:style>
  <w:style w:type="character" w:customStyle="1" w:styleId="7">
    <w:name w:val="font31"/>
    <w:basedOn w:val="5"/>
    <w:qFormat/>
    <w:uiPriority w:val="0"/>
    <w:rPr>
      <w:rFonts w:hint="eastAsia" w:ascii="宋体" w:hAnsi="宋体" w:eastAsia="宋体" w:cs="宋体"/>
      <w:color w:val="000000"/>
      <w:sz w:val="20"/>
      <w:szCs w:val="20"/>
      <w:u w:val="none"/>
    </w:rPr>
  </w:style>
  <w:style w:type="character" w:customStyle="1" w:styleId="8">
    <w:name w:val="font21"/>
    <w:basedOn w:val="5"/>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36</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2026-06-17T12:17:00Z</dcterms:created>
  <dc:creator>浅唱低吟。</dc:creator>
  <cp:lastModifiedBy>浅唱低吟。</cp:lastModifiedBy>
  <dcterms:modified xsi:type="dcterms:W3CDTF">2026-06-17T12:19:40Z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D8B011F2FC1945CFBADC5E85B9AD9D0B_11</vt:lpwstr>
  </property>
  <property fmtid="{D5CDD505-2E9C-101B-9397-08002B2CF9AE}" pid="4" name="KSOTemplateDocerSaveRecord">
    <vt:lpwstr>eyJoZGlkIjoiOWMwNTIwMGNkYjE2NzdjNTRiYWY2NjYzMWYyYzliOTMiLCJ1c2VySWQiOiI0NTY1MTEyNzYifQ==</vt:lpwstr>
  </property>
</Properties>
</file>