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消化道肿瘤专病数据平台</w:t>
      </w:r>
      <w:r>
        <w:rPr>
          <w:rFonts w:hint="eastAsia" w:ascii="方正小标宋简体" w:hAnsi="方正小标宋简体" w:eastAsia="方正小标宋简体" w:cs="方正小标宋简体"/>
          <w:sz w:val="36"/>
          <w:szCs w:val="36"/>
          <w:lang w:val="en-US" w:eastAsia="zh-CN"/>
        </w:rPr>
        <w:t>采购</w:t>
      </w:r>
      <w:bookmarkStart w:id="0" w:name="_GoBack"/>
      <w:bookmarkEnd w:id="0"/>
      <w:r>
        <w:rPr>
          <w:rFonts w:hint="eastAsia" w:ascii="方正小标宋简体" w:hAnsi="方正小标宋简体" w:eastAsia="方正小标宋简体" w:cs="方正小标宋简体"/>
          <w:sz w:val="36"/>
          <w:szCs w:val="36"/>
        </w:rPr>
        <w:t>项目</w:t>
      </w:r>
    </w:p>
    <w:p>
      <w:pPr>
        <w:adjustRightInd w:val="0"/>
        <w:snapToGrid w:val="0"/>
        <w:spacing w:before="156" w:beforeLines="50" w:after="156" w:afterLines="50" w:line="579" w:lineRule="exact"/>
        <w:ind w:firstLine="360" w:firstLineChars="100"/>
        <w:jc w:val="center"/>
        <w:rPr>
          <w:rFonts w:ascii="黑体" w:hAnsi="黑体" w:eastAsia="黑体" w:cs="仿宋_GB2312"/>
          <w:sz w:val="36"/>
          <w:szCs w:val="36"/>
        </w:rPr>
      </w:pPr>
      <w:r>
        <w:rPr>
          <w:rFonts w:hint="eastAsia" w:ascii="方正小标宋简体" w:hAnsi="方正小标宋简体" w:eastAsia="方正小标宋简体" w:cs="方正小标宋简体"/>
          <w:sz w:val="36"/>
          <w:szCs w:val="36"/>
        </w:rPr>
        <w:t>市场调研参数</w:t>
      </w:r>
    </w:p>
    <w:p>
      <w:pPr>
        <w:numPr>
          <w:ilvl w:val="0"/>
          <w:numId w:val="1"/>
        </w:numPr>
        <w:adjustRightInd w:val="0"/>
        <w:snapToGrid w:val="0"/>
        <w:spacing w:before="156" w:beforeLines="50" w:after="156" w:afterLines="50" w:line="579" w:lineRule="exact"/>
        <w:rPr>
          <w:rFonts w:hint="eastAsia" w:ascii="楷体_GB2312" w:hAnsi="黑体" w:eastAsia="楷体_GB2312" w:cs="仿宋_GB2312"/>
          <w:sz w:val="32"/>
          <w:szCs w:val="32"/>
        </w:rPr>
      </w:pPr>
      <w:r>
        <w:rPr>
          <w:rFonts w:hint="eastAsia" w:ascii="楷体_GB2312" w:hAnsi="黑体" w:eastAsia="楷体_GB2312" w:cs="仿宋_GB2312"/>
          <w:sz w:val="32"/>
          <w:szCs w:val="32"/>
        </w:rPr>
        <w:t>专科专病数据平台概况</w:t>
      </w:r>
    </w:p>
    <w:p>
      <w:pPr>
        <w:adjustRightInd w:val="0"/>
        <w:snapToGrid w:val="0"/>
        <w:spacing w:line="579"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随着经济发展、文化科学的进步，据统计</w:t>
      </w:r>
      <w:r>
        <w:rPr>
          <w:rFonts w:ascii="仿宋_GB2312" w:hAnsi="仿宋_GB2312" w:eastAsia="仿宋_GB2312" w:cs="仿宋_GB2312"/>
          <w:sz w:val="30"/>
          <w:szCs w:val="30"/>
        </w:rPr>
        <w:t>我国发病率排前5的癌症里面，有3个都属于消化道癌症，分别为肝癌、胃癌、结直肠癌</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而死亡率排前5的癌症里面，有肝癌、胃癌、食管癌、结直肠癌4个消化道癌症。</w:t>
      </w:r>
      <w:r>
        <w:rPr>
          <w:rFonts w:hint="eastAsia" w:ascii="仿宋_GB2312" w:hAnsi="仿宋_GB2312" w:eastAsia="仿宋_GB2312" w:cs="仿宋_GB2312"/>
          <w:sz w:val="30"/>
          <w:szCs w:val="30"/>
        </w:rPr>
        <w:t>同时人口老龄化是全世界和我国面临的一个严峻的问题，</w:t>
      </w:r>
      <w:r>
        <w:rPr>
          <w:rFonts w:ascii="仿宋_GB2312" w:hAnsi="仿宋_GB2312" w:eastAsia="仿宋_GB2312" w:cs="仿宋_GB2312"/>
          <w:sz w:val="30"/>
          <w:szCs w:val="30"/>
        </w:rPr>
        <w:fldChar w:fldCharType="begin"/>
      </w:r>
      <w:r>
        <w:rPr>
          <w:rFonts w:ascii="仿宋_GB2312" w:hAnsi="仿宋_GB2312" w:eastAsia="仿宋_GB2312" w:cs="仿宋_GB2312"/>
          <w:sz w:val="30"/>
          <w:szCs w:val="30"/>
        </w:rPr>
        <w:instrText xml:space="preserve"> HYPERLINK "https://baike.baidu.com/item/%E7%AC%AC%E4%B8%83%E6%AC%A1%E5%85%A8%E5%9B%BD%E4%BA%BA%E5%8F%A3%E6%99%AE%E6%9F%A5/23542107" \t "_blank" </w:instrText>
      </w:r>
      <w:r>
        <w:rPr>
          <w:rFonts w:ascii="仿宋_GB2312" w:hAnsi="仿宋_GB2312" w:eastAsia="仿宋_GB2312" w:cs="仿宋_GB2312"/>
          <w:sz w:val="30"/>
          <w:szCs w:val="30"/>
        </w:rPr>
        <w:fldChar w:fldCharType="separate"/>
      </w:r>
      <w:r>
        <w:rPr>
          <w:rFonts w:ascii="仿宋_GB2312" w:hAnsi="仿宋_GB2312" w:eastAsia="仿宋_GB2312" w:cs="仿宋_GB2312"/>
          <w:sz w:val="30"/>
          <w:szCs w:val="30"/>
        </w:rPr>
        <w:t>第七次全国人口普查</w:t>
      </w:r>
      <w:r>
        <w:rPr>
          <w:rFonts w:ascii="仿宋_GB2312" w:hAnsi="仿宋_GB2312" w:eastAsia="仿宋_GB2312" w:cs="仿宋_GB2312"/>
          <w:sz w:val="30"/>
          <w:szCs w:val="30"/>
        </w:rPr>
        <w:fldChar w:fldCharType="end"/>
      </w:r>
      <w:r>
        <w:rPr>
          <w:rFonts w:ascii="仿宋_GB2312" w:hAnsi="仿宋_GB2312" w:eastAsia="仿宋_GB2312" w:cs="仿宋_GB2312"/>
          <w:sz w:val="30"/>
          <w:szCs w:val="30"/>
        </w:rPr>
        <w:t>结果显示，中国60岁及以上人口占比超18%，人口老龄化程度进一步加深</w:t>
      </w:r>
      <w:r>
        <w:rPr>
          <w:rFonts w:hint="eastAsia" w:ascii="仿宋_GB2312" w:hAnsi="仿宋_GB2312" w:eastAsia="仿宋_GB2312" w:cs="仿宋_GB2312"/>
          <w:sz w:val="30"/>
          <w:szCs w:val="30"/>
        </w:rPr>
        <w:t>。随着新医改不断纵深推进，我国卫生健康事业获得长足发展，对医疗服务能力也提出了更高要求。国家先后出台《“十三五”国家医学中心及国家区域医疗中心设置规划》（国卫医发〔2017〕3号）、《国家医学中心和国家区域医疗中心设置实施方案》（国卫办医函〔2019〕45号），全面启动国家医学中心和国家区域医疗中心建设，其主要考量指标是</w:t>
      </w:r>
      <w:r>
        <w:rPr>
          <w:rFonts w:hint="eastAsia" w:ascii="仿宋_GB2312" w:hAnsi="仿宋_GB2312" w:eastAsia="仿宋_GB2312" w:cs="仿宋_GB2312"/>
          <w:b/>
          <w:sz w:val="30"/>
          <w:szCs w:val="30"/>
        </w:rPr>
        <w:t>国家临床重点专科的数量和质量</w:t>
      </w:r>
      <w:r>
        <w:rPr>
          <w:rFonts w:hint="eastAsia" w:ascii="仿宋_GB2312" w:hAnsi="仿宋_GB2312" w:eastAsia="仿宋_GB2312" w:cs="仿宋_GB2312"/>
          <w:sz w:val="30"/>
          <w:szCs w:val="30"/>
        </w:rPr>
        <w:t>。面对这样新的历史发展机遇，成都市人民政府办公厅根据《成都市区域卫生规划（2018-2025年）》，制定了《成都市高水平临床重点专科建设实施方案》（成办发【2020】22号），重在精准施策建设成都市高水平临床重点专科，以期到2025年，打造10个在全国具有一定影响力的高水平临床重点专科。</w:t>
      </w:r>
    </w:p>
    <w:p>
      <w:pPr>
        <w:adjustRightInd w:val="0"/>
        <w:snapToGrid w:val="0"/>
        <w:spacing w:line="579" w:lineRule="exact"/>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成都市卫生健康委员会以《成都市高水平临床重点专科建设实施方案》文件为指导，着力开展了成都市高水平临床重点专科建设调研，并通过严格的高水平临床重点专科申报、评估、遴选等环节，最终确定了成都市十大高水平临床重点专科。其中，我院保健医学（老年医学）、肿瘤学成功立项成都市十大高水平临床重点专科建设项目。为了贯彻落实成都市高水平临床重点专科建设任务，亟需依托于成都市健康医疗大数据平台来整合区域其他医疗机构关于老年医学、肿瘤学的医疗数据，融合院内老年医学、肿瘤学的医疗数据，构建多源化的的专科专病数据平台，并以临床科研推动成果转化，进而提升医院重点学科水平。专科专病数据平台概况如下：</w:t>
      </w:r>
    </w:p>
    <w:p>
      <w:pPr>
        <w:adjustRightInd w:val="0"/>
        <w:snapToGrid w:val="0"/>
        <w:spacing w:line="579" w:lineRule="exact"/>
        <w:ind w:firstLine="602" w:firstLineChars="20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1</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建设思路。</w:t>
      </w:r>
      <w:r>
        <w:rPr>
          <w:rFonts w:hint="eastAsia" w:ascii="仿宋_GB2312" w:hAnsi="仿宋_GB2312" w:eastAsia="仿宋_GB2312" w:cs="仿宋_GB2312"/>
          <w:sz w:val="30"/>
          <w:szCs w:val="30"/>
        </w:rPr>
        <w:t>基于院内门诊、急诊、住院、院外随访信息及科研项目的数据直报、成都市健康医疗大数据平台等进行数据集成，构建数据层面的基础建设，形成以患者为维度的全生命周期临床治疗、科研信息的数据集合，可围绕不同科研项目进行探索分析服务。同时，临床科研数据中的非结构化数据通过基于人工智能技术的后结构化处理以及以知识图谱为核心的文本数据归一化，形成标准化、结构化的专病数据库，为之后的数据应用提供基础服务。在根据各业务源数据参考的国际、国家标准进行临床专病数据库表结构设计，最终形成围绕专科、专病的患者全生命周期、多维度、标准化专科专病数据平台。</w:t>
      </w:r>
    </w:p>
    <w:p>
      <w:pPr>
        <w:overflowPunct w:val="0"/>
        <w:adjustRightInd w:val="0"/>
        <w:snapToGrid w:val="0"/>
        <w:spacing w:line="579" w:lineRule="exact"/>
        <w:ind w:firstLine="640"/>
        <w:rPr>
          <w:rFonts w:ascii="仿宋_GB2312" w:hAnsi="仿宋_GB2312" w:eastAsia="仿宋_GB2312" w:cs="仿宋_GB2312"/>
          <w:sz w:val="30"/>
          <w:szCs w:val="30"/>
        </w:rPr>
      </w:pPr>
      <w:r>
        <w:rPr>
          <w:rFonts w:hint="eastAsia" w:ascii="仿宋_GB2312" w:hAnsi="仿宋_GB2312" w:eastAsia="仿宋_GB2312" w:cs="仿宋_GB2312"/>
          <w:b/>
          <w:sz w:val="30"/>
          <w:szCs w:val="30"/>
        </w:rPr>
        <w:t>2</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建设依据。</w:t>
      </w:r>
      <w:r>
        <w:rPr>
          <w:rFonts w:hint="eastAsia" w:ascii="仿宋_GB2312" w:hAnsi="仿宋_GB2312" w:eastAsia="仿宋_GB2312" w:cs="仿宋_GB2312"/>
          <w:sz w:val="30"/>
          <w:szCs w:val="30"/>
        </w:rPr>
        <w:t>本项目建设需参考</w:t>
      </w:r>
      <w:r>
        <w:rPr>
          <w:rFonts w:ascii="仿宋_GB2312" w:hAnsi="仿宋_GB2312" w:eastAsia="仿宋_GB2312" w:cs="仿宋_GB2312"/>
          <w:sz w:val="30"/>
          <w:szCs w:val="30"/>
        </w:rPr>
        <w:t>医学</w:t>
      </w:r>
      <w:r>
        <w:rPr>
          <w:rFonts w:hint="eastAsia" w:ascii="仿宋_GB2312" w:hAnsi="仿宋_GB2312" w:eastAsia="仿宋_GB2312" w:cs="仿宋_GB2312"/>
          <w:sz w:val="30"/>
          <w:szCs w:val="30"/>
        </w:rPr>
        <w:t>术语规范和信息化建设数据标准。包括但不限于：信息化建设数据标准包括</w:t>
      </w:r>
      <w:r>
        <w:rPr>
          <w:rFonts w:ascii="仿宋_GB2312" w:hAnsi="仿宋_GB2312" w:eastAsia="仿宋_GB2312" w:cs="仿宋_GB2312"/>
          <w:sz w:val="30"/>
          <w:szCs w:val="30"/>
        </w:rPr>
        <w:t>HL7</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CDISC</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《基于电子病历的医院信息平台建设技术解决方案（1.0）》</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《电子病历系统功能应用水平分级评价方法及标准》</w:t>
      </w:r>
      <w:r>
        <w:rPr>
          <w:rFonts w:hint="eastAsia" w:ascii="仿宋_GB2312" w:hAnsi="仿宋_GB2312" w:eastAsia="仿宋_GB2312" w:cs="仿宋_GB2312"/>
          <w:sz w:val="30"/>
          <w:szCs w:val="30"/>
        </w:rPr>
        <w:t>等。医学术语包括对疾病标准化、药品标准化、检验标准化、检查标准化，分别对应参考国际</w:t>
      </w:r>
      <w:r>
        <w:rPr>
          <w:rFonts w:ascii="仿宋_GB2312" w:hAnsi="仿宋_GB2312" w:eastAsia="仿宋_GB2312" w:cs="仿宋_GB2312"/>
          <w:sz w:val="30"/>
          <w:szCs w:val="30"/>
        </w:rPr>
        <w:t>ICD</w:t>
      </w:r>
      <w:r>
        <w:rPr>
          <w:rFonts w:hint="eastAsia" w:ascii="仿宋_GB2312" w:hAnsi="仿宋_GB2312" w:eastAsia="仿宋_GB2312" w:cs="仿宋_GB2312"/>
          <w:sz w:val="30"/>
          <w:szCs w:val="30"/>
        </w:rPr>
        <w:t>编码（</w:t>
      </w:r>
      <w:r>
        <w:rPr>
          <w:rFonts w:ascii="仿宋_GB2312" w:hAnsi="仿宋_GB2312" w:eastAsia="仿宋_GB2312" w:cs="仿宋_GB2312"/>
          <w:sz w:val="30"/>
          <w:szCs w:val="30"/>
        </w:rPr>
        <w:t>ICD 10</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ICD 9</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ICD 11</w:t>
      </w:r>
      <w:r>
        <w:rPr>
          <w:rFonts w:hint="eastAsia" w:ascii="仿宋_GB2312" w:hAnsi="仿宋_GB2312" w:eastAsia="仿宋_GB2312" w:cs="仿宋_GB2312"/>
          <w:sz w:val="30"/>
          <w:szCs w:val="30"/>
        </w:rPr>
        <w:t>）、药品</w:t>
      </w:r>
      <w:r>
        <w:rPr>
          <w:rFonts w:ascii="仿宋_GB2312" w:hAnsi="仿宋_GB2312" w:eastAsia="仿宋_GB2312" w:cs="仿宋_GB2312"/>
          <w:sz w:val="30"/>
          <w:szCs w:val="30"/>
        </w:rPr>
        <w:t>ATC</w:t>
      </w:r>
      <w:r>
        <w:rPr>
          <w:rFonts w:hint="eastAsia" w:ascii="仿宋_GB2312" w:hAnsi="仿宋_GB2312" w:eastAsia="仿宋_GB2312" w:cs="仿宋_GB2312"/>
          <w:sz w:val="30"/>
          <w:szCs w:val="30"/>
        </w:rPr>
        <w:t>代码、检验</w:t>
      </w:r>
      <w:r>
        <w:rPr>
          <w:rFonts w:ascii="仿宋_GB2312" w:hAnsi="仿宋_GB2312" w:eastAsia="仿宋_GB2312" w:cs="仿宋_GB2312"/>
          <w:sz w:val="30"/>
          <w:szCs w:val="30"/>
        </w:rPr>
        <w:t>LONIC</w:t>
      </w:r>
      <w:r>
        <w:rPr>
          <w:rFonts w:hint="eastAsia" w:ascii="仿宋_GB2312" w:hAnsi="仿宋_GB2312" w:eastAsia="仿宋_GB2312" w:cs="仿宋_GB2312"/>
          <w:sz w:val="30"/>
          <w:szCs w:val="30"/>
        </w:rPr>
        <w:t>代码、检查</w:t>
      </w:r>
      <w:r>
        <w:rPr>
          <w:rFonts w:ascii="仿宋_GB2312" w:hAnsi="仿宋_GB2312" w:eastAsia="仿宋_GB2312" w:cs="仿宋_GB2312"/>
          <w:sz w:val="30"/>
          <w:szCs w:val="30"/>
        </w:rPr>
        <w:t>DICOM</w:t>
      </w:r>
      <w:r>
        <w:rPr>
          <w:rFonts w:hint="eastAsia" w:ascii="仿宋_GB2312" w:hAnsi="仿宋_GB2312" w:eastAsia="仿宋_GB2312" w:cs="仿宋_GB2312"/>
          <w:sz w:val="30"/>
          <w:szCs w:val="30"/>
        </w:rPr>
        <w:t>编码等。</w:t>
      </w:r>
    </w:p>
    <w:p>
      <w:pPr>
        <w:adjustRightInd w:val="0"/>
        <w:snapToGrid w:val="0"/>
        <w:spacing w:line="579" w:lineRule="exact"/>
        <w:ind w:firstLine="602" w:firstLineChars="20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3</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建设内容。</w:t>
      </w:r>
      <w:r>
        <w:rPr>
          <w:rFonts w:hint="eastAsia" w:ascii="仿宋_GB2312" w:hAnsi="仿宋_GB2312" w:eastAsia="仿宋_GB2312" w:cs="仿宋_GB2312"/>
          <w:sz w:val="30"/>
          <w:szCs w:val="30"/>
        </w:rPr>
        <w:t>结合我院临床重点专科业务现状，通过建设集临床、管理、科研、随访于一体的专科专病数据平台，提升医院工作效率，增强临床与科研实力，提高患者满意度，助力医院信息化发展。本项目将以消化道肿瘤为重点病种</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建设符合国际、国内标准的数据库和生物样本库，并支持开展临床治疗、病理分析、影像学和生物标记物发现等多维度数据研究，持续有效地提高临床和科研能力。同时将信息技术和随访管理结合，构建患者的大数据信息平台，优化医生工作流程，缩短患者诊疗周期，提高运营质量，节约诊治成本。具体功能包括数据治理服务、专科专病库建模、智慧化全程健康管理、患者随访以及专科专病科研服务等内容。</w:t>
      </w:r>
    </w:p>
    <w:p>
      <w:pPr>
        <w:rPr>
          <w:rFonts w:hint="eastAsia" w:ascii="仿宋" w:hAnsi="仿宋" w:eastAsia="仿宋" w:cs="仿宋"/>
          <w:bCs/>
          <w:sz w:val="30"/>
          <w:szCs w:val="30"/>
          <w:lang w:val="en-US" w:eastAsia="zh-CN"/>
        </w:rPr>
      </w:pPr>
    </w:p>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B6C17B"/>
    <w:multiLevelType w:val="singleLevel"/>
    <w:tmpl w:val="47B6C1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B7E"/>
    <w:rsid w:val="000B2706"/>
    <w:rsid w:val="0016195E"/>
    <w:rsid w:val="002A7F8C"/>
    <w:rsid w:val="0042680C"/>
    <w:rsid w:val="00563B7E"/>
    <w:rsid w:val="006E048B"/>
    <w:rsid w:val="18944B1B"/>
    <w:rsid w:val="3CD76FF9"/>
    <w:rsid w:val="417C3111"/>
    <w:rsid w:val="60CB250D"/>
    <w:rsid w:val="686473D7"/>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paragraph" w:styleId="7">
    <w:name w:val="List Paragraph"/>
    <w:basedOn w:val="1"/>
    <w:qFormat/>
    <w:uiPriority w:val="34"/>
    <w:pPr>
      <w:ind w:firstLine="420" w:firstLineChars="200"/>
    </w:pPr>
  </w:style>
  <w:style w:type="paragraph" w:customStyle="1" w:styleId="8">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1513</Words>
  <Characters>1570</Characters>
  <Lines>3</Lines>
  <Paragraphs>1</Paragraphs>
  <TotalTime>0</TotalTime>
  <ScaleCrop>false</ScaleCrop>
  <LinksUpToDate>false</LinksUpToDate>
  <CharactersWithSpaces>1573</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admin</cp:lastModifiedBy>
  <dcterms:modified xsi:type="dcterms:W3CDTF">2022-04-21T09:00:57Z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C8192EF20B7F4CC5A4E5A7DBECF73E56</vt:lpwstr>
  </property>
</Properties>
</file>