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C45A4">
      <w:pPr>
        <w:pStyle w:val="2"/>
        <w:spacing w:line="276" w:lineRule="auto"/>
        <w:jc w:val="center"/>
        <w:rPr>
          <w:rFonts w:ascii="宋体" w:eastAsia="宋体"/>
          <w:sz w:val="32"/>
        </w:rPr>
      </w:pPr>
      <w:r>
        <w:rPr>
          <w:rFonts w:hint="eastAsia" w:ascii="宋体" w:eastAsia="宋体"/>
          <w:sz w:val="32"/>
          <w:lang w:val="en-US" w:eastAsia="zh-CN"/>
        </w:rPr>
        <w:t>成都市第五人民医院双活</w:t>
      </w:r>
      <w:r>
        <w:rPr>
          <w:rFonts w:hint="eastAsia" w:ascii="宋体" w:eastAsia="宋体"/>
          <w:sz w:val="32"/>
        </w:rPr>
        <w:t>存储</w:t>
      </w:r>
      <w:r>
        <w:rPr>
          <w:rFonts w:hint="eastAsia" w:ascii="宋体" w:eastAsia="宋体"/>
          <w:sz w:val="32"/>
          <w:lang w:val="en-US" w:eastAsia="zh-CN"/>
        </w:rPr>
        <w:t>采购项目市场</w:t>
      </w:r>
      <w:r>
        <w:rPr>
          <w:rFonts w:hint="eastAsia" w:ascii="宋体" w:eastAsia="宋体"/>
          <w:sz w:val="32"/>
        </w:rPr>
        <w:t>调研参数</w:t>
      </w:r>
      <w:bookmarkStart w:id="0" w:name="_GoBack"/>
      <w:bookmarkEnd w:id="0"/>
    </w:p>
    <w:tbl>
      <w:tblPr>
        <w:tblStyle w:val="8"/>
        <w:tblpPr w:leftFromText="180" w:rightFromText="180" w:vertAnchor="text" w:horzAnchor="page" w:tblpXSpec="center" w:tblpY="560"/>
        <w:tblW w:w="10196"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85" w:type="dxa"/>
          <w:left w:w="85" w:type="dxa"/>
          <w:bottom w:w="85" w:type="dxa"/>
          <w:right w:w="85" w:type="dxa"/>
        </w:tblCellMar>
      </w:tblPr>
      <w:tblGrid>
        <w:gridCol w:w="2258"/>
        <w:gridCol w:w="7938"/>
      </w:tblGrid>
      <w:tr w14:paraId="795B7F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tblHeader/>
        </w:trPr>
        <w:tc>
          <w:tcPr>
            <w:tcW w:w="2258" w:type="dxa"/>
            <w:tcBorders>
              <w:top w:val="single" w:color="auto" w:sz="8" w:space="0"/>
              <w:left w:val="single" w:color="auto" w:sz="8" w:space="0"/>
              <w:bottom w:val="single" w:color="auto" w:sz="8" w:space="0"/>
              <w:right w:val="single" w:color="auto" w:sz="8" w:space="0"/>
              <w:tl2br w:val="nil"/>
              <w:tr2bl w:val="nil"/>
            </w:tcBorders>
            <w:shd w:val="clear" w:color="auto" w:fill="F2F2F2"/>
            <w:vAlign w:val="center"/>
          </w:tcPr>
          <w:p w14:paraId="600FA8CF">
            <w:pPr>
              <w:widowControl/>
              <w:spacing w:before="60" w:line="276" w:lineRule="auto"/>
              <w:ind w:firstLine="470" w:firstLineChars="196"/>
              <w:jc w:val="left"/>
              <w:rPr>
                <w:rFonts w:ascii="Arial" w:hAnsi="Arial"/>
                <w:kern w:val="0"/>
                <w:sz w:val="24"/>
                <w:szCs w:val="20"/>
              </w:rPr>
            </w:pPr>
            <w:r>
              <w:rPr>
                <w:rFonts w:hint="eastAsia" w:ascii="Arial" w:hAnsi="Arial"/>
                <w:kern w:val="0"/>
                <w:sz w:val="24"/>
                <w:szCs w:val="20"/>
              </w:rPr>
              <w:t>要求</w:t>
            </w:r>
          </w:p>
        </w:tc>
        <w:tc>
          <w:tcPr>
            <w:tcW w:w="7938" w:type="dxa"/>
            <w:tcBorders>
              <w:top w:val="single" w:color="auto" w:sz="8" w:space="0"/>
              <w:left w:val="single" w:color="auto" w:sz="8" w:space="0"/>
              <w:bottom w:val="single" w:color="auto" w:sz="8" w:space="0"/>
              <w:right w:val="single" w:color="auto" w:sz="8" w:space="0"/>
              <w:tl2br w:val="nil"/>
              <w:tr2bl w:val="nil"/>
            </w:tcBorders>
            <w:shd w:val="clear" w:color="auto" w:fill="F2F2F2"/>
            <w:vAlign w:val="center"/>
          </w:tcPr>
          <w:p w14:paraId="3068D432">
            <w:pPr>
              <w:widowControl/>
              <w:spacing w:before="60" w:line="276" w:lineRule="auto"/>
              <w:ind w:firstLine="470" w:firstLineChars="196"/>
              <w:jc w:val="left"/>
              <w:rPr>
                <w:rFonts w:ascii="Arial" w:hAnsi="Arial"/>
                <w:kern w:val="0"/>
                <w:sz w:val="24"/>
                <w:szCs w:val="20"/>
              </w:rPr>
            </w:pPr>
            <w:r>
              <w:rPr>
                <w:rFonts w:hint="eastAsia" w:ascii="Arial" w:hAnsi="Arial"/>
                <w:kern w:val="0"/>
                <w:sz w:val="24"/>
                <w:szCs w:val="20"/>
              </w:rPr>
              <w:t>技术指标要求描述</w:t>
            </w:r>
          </w:p>
        </w:tc>
      </w:tr>
      <w:tr w14:paraId="24869E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69E5E582">
            <w:pPr>
              <w:widowControl/>
              <w:spacing w:before="60" w:line="276" w:lineRule="auto"/>
              <w:ind w:firstLine="470" w:firstLineChars="196"/>
              <w:jc w:val="left"/>
              <w:rPr>
                <w:rFonts w:ascii="Arial" w:hAnsi="Arial"/>
                <w:kern w:val="0"/>
                <w:szCs w:val="21"/>
              </w:rPr>
            </w:pPr>
            <w:r>
              <w:rPr>
                <w:rFonts w:hint="eastAsia" w:ascii="Arial" w:hAnsi="Arial"/>
                <w:kern w:val="0"/>
                <w:szCs w:val="21"/>
              </w:rPr>
              <w:t>设备数量</w:t>
            </w:r>
          </w:p>
        </w:tc>
        <w:tc>
          <w:tcPr>
            <w:tcW w:w="7938" w:type="dxa"/>
            <w:vAlign w:val="center"/>
          </w:tcPr>
          <w:p w14:paraId="6AE5A5F2">
            <w:pPr>
              <w:widowControl/>
              <w:spacing w:before="60" w:line="276" w:lineRule="auto"/>
              <w:ind w:firstLine="470" w:firstLineChars="196"/>
              <w:jc w:val="left"/>
              <w:rPr>
                <w:rFonts w:ascii="Arial" w:hAnsi="Arial"/>
                <w:kern w:val="0"/>
                <w:szCs w:val="21"/>
              </w:rPr>
            </w:pPr>
            <w:r>
              <w:rPr>
                <w:rFonts w:hint="eastAsia" w:ascii="Arial" w:hAnsi="Arial"/>
                <w:kern w:val="0"/>
                <w:szCs w:val="21"/>
              </w:rPr>
              <w:t>2台</w:t>
            </w:r>
          </w:p>
        </w:tc>
      </w:tr>
      <w:tr w14:paraId="7DD1BA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0AF0EA5A">
            <w:pPr>
              <w:widowControl/>
              <w:spacing w:before="60" w:line="276" w:lineRule="auto"/>
              <w:ind w:firstLine="470" w:firstLineChars="196"/>
              <w:jc w:val="left"/>
              <w:rPr>
                <w:rFonts w:ascii="Arial" w:hAnsi="Arial"/>
                <w:kern w:val="0"/>
                <w:szCs w:val="21"/>
              </w:rPr>
            </w:pPr>
            <w:r>
              <w:rPr>
                <w:rFonts w:hint="eastAsia" w:ascii="Arial" w:hAnsi="Arial"/>
                <w:kern w:val="0"/>
                <w:szCs w:val="21"/>
              </w:rPr>
              <w:t>设备等级</w:t>
            </w:r>
          </w:p>
        </w:tc>
        <w:tc>
          <w:tcPr>
            <w:tcW w:w="7938" w:type="dxa"/>
            <w:vAlign w:val="center"/>
          </w:tcPr>
          <w:p w14:paraId="1665F1D6">
            <w:pPr>
              <w:widowControl/>
              <w:spacing w:before="60" w:line="276" w:lineRule="auto"/>
              <w:ind w:firstLine="470" w:firstLineChars="196"/>
              <w:jc w:val="left"/>
              <w:rPr>
                <w:rFonts w:ascii="Arial" w:hAnsi="Arial"/>
                <w:kern w:val="0"/>
                <w:szCs w:val="21"/>
              </w:rPr>
            </w:pPr>
            <w:r>
              <w:rPr>
                <w:rFonts w:hint="eastAsia" w:ascii="Arial" w:hAnsi="Arial"/>
                <w:kern w:val="0"/>
                <w:szCs w:val="21"/>
              </w:rPr>
              <w:t>企业级高端全闪存存储阵列、设备配置全冗余并保证在发生硬件故障时能够自动切换，不出现单点故障，需要配置断电数据保护机制。设备原厂商须承诺对其高端产品线将持续进行研发投资，以保证其设备先进性及稳定性，提供所投设备原厂服务生命周期(生产厂商承诺并加盖生产厂商公章)。</w:t>
            </w:r>
          </w:p>
        </w:tc>
      </w:tr>
      <w:tr w14:paraId="0B2576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5908B326">
            <w:pPr>
              <w:widowControl/>
              <w:spacing w:before="60" w:line="276" w:lineRule="auto"/>
              <w:jc w:val="left"/>
              <w:rPr>
                <w:rFonts w:ascii="Arial" w:hAnsi="Arial"/>
                <w:kern w:val="0"/>
                <w:szCs w:val="21"/>
              </w:rPr>
            </w:pPr>
            <w:r>
              <w:rPr>
                <w:rFonts w:hint="eastAsia" w:ascii="Arial" w:hAnsi="Arial"/>
                <w:kern w:val="0"/>
                <w:szCs w:val="21"/>
              </w:rPr>
              <w:t>支持存储协议</w:t>
            </w:r>
          </w:p>
        </w:tc>
        <w:tc>
          <w:tcPr>
            <w:tcW w:w="7938" w:type="dxa"/>
            <w:vAlign w:val="center"/>
          </w:tcPr>
          <w:p w14:paraId="718A9E57">
            <w:pPr>
              <w:widowControl/>
              <w:spacing w:before="60" w:line="276" w:lineRule="auto"/>
              <w:jc w:val="left"/>
              <w:rPr>
                <w:rFonts w:ascii="Arial" w:hAnsi="Arial"/>
                <w:kern w:val="0"/>
                <w:sz w:val="18"/>
                <w:szCs w:val="18"/>
              </w:rPr>
            </w:pPr>
            <w:r>
              <w:rPr>
                <w:rFonts w:hint="eastAsia" w:ascii="Arial" w:hAnsi="Arial"/>
                <w:kern w:val="0"/>
                <w:szCs w:val="21"/>
              </w:rPr>
              <w:t>FC，iSCSI， NFS，CIFS，FC-NVMe，NVMe Over RoCE，NDMP，S3，NFS over RDMA。</w:t>
            </w:r>
          </w:p>
        </w:tc>
      </w:tr>
      <w:tr w14:paraId="044054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78320F1E">
            <w:pPr>
              <w:widowControl/>
              <w:spacing w:before="60" w:line="276" w:lineRule="auto"/>
              <w:jc w:val="left"/>
              <w:rPr>
                <w:rFonts w:ascii="Arial" w:hAnsi="Arial"/>
                <w:kern w:val="0"/>
                <w:szCs w:val="21"/>
              </w:rPr>
            </w:pPr>
            <w:r>
              <w:rPr>
                <w:rFonts w:hint="eastAsia" w:ascii="Arial" w:hAnsi="Arial"/>
                <w:kern w:val="0"/>
                <w:szCs w:val="21"/>
              </w:rPr>
              <w:t>前端通道接口类型</w:t>
            </w:r>
          </w:p>
        </w:tc>
        <w:tc>
          <w:tcPr>
            <w:tcW w:w="7938" w:type="dxa"/>
            <w:vAlign w:val="center"/>
          </w:tcPr>
          <w:p w14:paraId="7914A567">
            <w:pPr>
              <w:widowControl/>
              <w:spacing w:before="60" w:line="276" w:lineRule="auto"/>
              <w:jc w:val="left"/>
              <w:rPr>
                <w:rFonts w:ascii="Arial" w:hAnsi="Arial"/>
                <w:kern w:val="0"/>
                <w:sz w:val="18"/>
                <w:szCs w:val="18"/>
              </w:rPr>
            </w:pPr>
            <w:r>
              <w:rPr>
                <w:rFonts w:hint="eastAsia" w:ascii="Arial" w:hAnsi="Arial"/>
                <w:kern w:val="0"/>
                <w:szCs w:val="21"/>
              </w:rPr>
              <w:t>8/16/32 Gbit/s FC/FC-NVMe, 10/25/40/100 GbE，25/100 Gb NVMe over RoCE/NFS over RDMA。</w:t>
            </w:r>
          </w:p>
        </w:tc>
      </w:tr>
      <w:tr w14:paraId="3E43EB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6AC43032">
            <w:pPr>
              <w:widowControl/>
              <w:spacing w:before="60" w:line="276" w:lineRule="auto"/>
              <w:jc w:val="left"/>
              <w:rPr>
                <w:rFonts w:ascii="Arial" w:hAnsi="Arial"/>
                <w:kern w:val="0"/>
                <w:szCs w:val="21"/>
              </w:rPr>
            </w:pPr>
            <w:r>
              <w:rPr>
                <w:rFonts w:hint="eastAsia" w:ascii="Arial" w:hAnsi="Arial"/>
                <w:kern w:val="0"/>
                <w:szCs w:val="21"/>
              </w:rPr>
              <w:t>后端通道端口类型</w:t>
            </w:r>
          </w:p>
        </w:tc>
        <w:tc>
          <w:tcPr>
            <w:tcW w:w="7938" w:type="dxa"/>
            <w:vAlign w:val="center"/>
          </w:tcPr>
          <w:p w14:paraId="7C32039D">
            <w:pPr>
              <w:widowControl/>
              <w:spacing w:before="60" w:line="276" w:lineRule="auto"/>
              <w:jc w:val="left"/>
              <w:rPr>
                <w:rFonts w:ascii="Arial" w:hAnsi="Arial"/>
                <w:kern w:val="0"/>
                <w:sz w:val="18"/>
                <w:szCs w:val="18"/>
              </w:rPr>
            </w:pPr>
            <w:r>
              <w:rPr>
                <w:rFonts w:hint="eastAsia" w:ascii="Arial" w:hAnsi="Arial"/>
                <w:kern w:val="0"/>
                <w:szCs w:val="21"/>
              </w:rPr>
              <w:t>100G RDMA/SAS 3.0。</w:t>
            </w:r>
          </w:p>
        </w:tc>
      </w:tr>
      <w:tr w14:paraId="7E6538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40288F02">
            <w:pPr>
              <w:widowControl/>
              <w:spacing w:before="60" w:line="276" w:lineRule="auto"/>
              <w:ind w:firstLine="470" w:firstLineChars="196"/>
              <w:jc w:val="left"/>
              <w:rPr>
                <w:rFonts w:ascii="Arial" w:hAnsi="Arial"/>
                <w:kern w:val="0"/>
                <w:szCs w:val="21"/>
              </w:rPr>
            </w:pPr>
            <w:r>
              <w:rPr>
                <w:rFonts w:hint="eastAsia" w:ascii="Arial" w:hAnsi="Arial"/>
                <w:kern w:val="0"/>
                <w:szCs w:val="21"/>
              </w:rPr>
              <w:t>控制器要求</w:t>
            </w:r>
          </w:p>
        </w:tc>
        <w:tc>
          <w:tcPr>
            <w:tcW w:w="7938" w:type="dxa"/>
            <w:vAlign w:val="center"/>
          </w:tcPr>
          <w:p w14:paraId="6E087BEA">
            <w:pPr>
              <w:widowControl/>
              <w:spacing w:before="60" w:line="276" w:lineRule="auto"/>
              <w:jc w:val="left"/>
              <w:rPr>
                <w:rFonts w:ascii="Arial" w:hAnsi="Arial"/>
                <w:kern w:val="0"/>
                <w:szCs w:val="21"/>
              </w:rPr>
            </w:pPr>
            <w:r>
              <w:rPr>
                <w:rFonts w:hint="eastAsia" w:ascii="Arial" w:hAnsi="Arial"/>
                <w:kern w:val="0"/>
                <w:szCs w:val="21"/>
              </w:rPr>
              <w:t>控制器采用Active-Active架构，LUN不归属于某一个控制器，业务负载均衡到所有控制器，支持扩展到32控制器集群；采用多控（所有控制器）高速互联架构，控制器互联协议采用PCI-E/IB/RDMA等协议，非FC、IP联邦，每个控制器配置≥2颗国产CPU。本次单台存储配置C</w:t>
            </w:r>
            <w:r>
              <w:rPr>
                <w:rFonts w:ascii="Arial" w:hAnsi="Arial"/>
                <w:kern w:val="0"/>
                <w:szCs w:val="21"/>
              </w:rPr>
              <w:t>PU</w:t>
            </w:r>
            <w:r>
              <w:rPr>
                <w:rFonts w:hint="eastAsia" w:ascii="Arial" w:hAnsi="Arial"/>
                <w:kern w:val="0"/>
                <w:szCs w:val="21"/>
              </w:rPr>
              <w:t>总核心数≥</w:t>
            </w:r>
            <w:r>
              <w:rPr>
                <w:rFonts w:ascii="Arial" w:hAnsi="Arial"/>
                <w:kern w:val="0"/>
                <w:szCs w:val="21"/>
              </w:rPr>
              <w:t>256</w:t>
            </w:r>
            <w:r>
              <w:rPr>
                <w:rFonts w:hint="eastAsia" w:ascii="Arial" w:hAnsi="Arial"/>
                <w:kern w:val="0"/>
                <w:szCs w:val="21"/>
              </w:rPr>
              <w:t>物理核，主频≥2.</w:t>
            </w:r>
            <w:r>
              <w:rPr>
                <w:rFonts w:ascii="Arial" w:hAnsi="Arial"/>
                <w:kern w:val="0"/>
                <w:szCs w:val="21"/>
              </w:rPr>
              <w:t>4</w:t>
            </w:r>
            <w:r>
              <w:rPr>
                <w:rFonts w:hint="eastAsia" w:ascii="Arial" w:hAnsi="Arial"/>
                <w:kern w:val="0"/>
                <w:szCs w:val="21"/>
              </w:rPr>
              <w:t>GHz。</w:t>
            </w:r>
          </w:p>
        </w:tc>
      </w:tr>
      <w:tr w14:paraId="07D87F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0F456FEF">
            <w:pPr>
              <w:widowControl/>
              <w:spacing w:before="60" w:line="276" w:lineRule="auto"/>
              <w:ind w:firstLine="470" w:firstLineChars="196"/>
              <w:jc w:val="left"/>
              <w:rPr>
                <w:rFonts w:ascii="Arial" w:hAnsi="Arial"/>
                <w:kern w:val="0"/>
                <w:szCs w:val="21"/>
              </w:rPr>
            </w:pPr>
            <w:r>
              <w:rPr>
                <w:rFonts w:hint="eastAsia" w:ascii="Arial" w:hAnsi="Arial"/>
                <w:kern w:val="0"/>
                <w:szCs w:val="21"/>
              </w:rPr>
              <w:t>控制器缓存</w:t>
            </w:r>
          </w:p>
        </w:tc>
        <w:tc>
          <w:tcPr>
            <w:tcW w:w="7938" w:type="dxa"/>
            <w:vAlign w:val="center"/>
          </w:tcPr>
          <w:p w14:paraId="6D7B188B">
            <w:pPr>
              <w:widowControl/>
              <w:spacing w:before="60" w:line="276" w:lineRule="auto"/>
              <w:jc w:val="left"/>
              <w:rPr>
                <w:rFonts w:ascii="Arial" w:hAnsi="Arial" w:cs="宋体"/>
                <w:kern w:val="0"/>
                <w:szCs w:val="21"/>
              </w:rPr>
            </w:pPr>
            <w:r>
              <w:rPr>
                <w:rFonts w:hint="eastAsia" w:ascii="Arial" w:hAnsi="Arial" w:cs="宋体"/>
                <w:kern w:val="0"/>
                <w:szCs w:val="21"/>
              </w:rPr>
              <w:t>每双控配置≥1024G缓存（不含任何性能加速模块、FlashCache、PAM卡，SSD Cache、SCM等）。</w:t>
            </w:r>
          </w:p>
        </w:tc>
      </w:tr>
      <w:tr w14:paraId="14FC85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4FF18583">
            <w:pPr>
              <w:widowControl/>
              <w:spacing w:before="60" w:line="276" w:lineRule="auto"/>
              <w:ind w:firstLine="470" w:firstLineChars="196"/>
              <w:jc w:val="left"/>
              <w:rPr>
                <w:rFonts w:ascii="Arial" w:hAnsi="Arial"/>
                <w:kern w:val="0"/>
                <w:szCs w:val="21"/>
              </w:rPr>
            </w:pPr>
            <w:r>
              <w:rPr>
                <w:rFonts w:hint="eastAsia" w:ascii="Arial" w:hAnsi="Arial"/>
                <w:kern w:val="0"/>
                <w:szCs w:val="21"/>
              </w:rPr>
              <w:t>容量需求</w:t>
            </w:r>
          </w:p>
        </w:tc>
        <w:tc>
          <w:tcPr>
            <w:tcW w:w="7938" w:type="dxa"/>
            <w:vAlign w:val="center"/>
          </w:tcPr>
          <w:p w14:paraId="72F01090">
            <w:pPr>
              <w:widowControl/>
              <w:spacing w:before="60" w:line="276" w:lineRule="auto"/>
              <w:jc w:val="left"/>
              <w:rPr>
                <w:rFonts w:ascii="Arial" w:hAnsi="Arial"/>
                <w:kern w:val="0"/>
                <w:szCs w:val="21"/>
              </w:rPr>
            </w:pPr>
            <w:r>
              <w:rPr>
                <w:rFonts w:hint="eastAsia" w:ascii="Arial" w:hAnsi="Arial"/>
                <w:kern w:val="0"/>
                <w:szCs w:val="21"/>
              </w:rPr>
              <w:t>配置≥40块3.84T NVME SSD企业级双端口TLC SSD硬盘，非SATA SSD，非</w:t>
            </w:r>
            <w:r>
              <w:rPr>
                <w:rFonts w:ascii="Arial" w:hAnsi="Arial"/>
                <w:kern w:val="0"/>
                <w:szCs w:val="21"/>
              </w:rPr>
              <w:t>SAS</w:t>
            </w:r>
            <w:r>
              <w:rPr>
                <w:rFonts w:hint="eastAsia" w:ascii="Arial" w:hAnsi="Arial"/>
                <w:kern w:val="0"/>
                <w:szCs w:val="21"/>
              </w:rPr>
              <w:t xml:space="preserve"> SSD，非QLC颗粒S</w:t>
            </w:r>
            <w:r>
              <w:rPr>
                <w:rFonts w:ascii="Arial" w:hAnsi="Arial"/>
                <w:kern w:val="0"/>
                <w:szCs w:val="21"/>
              </w:rPr>
              <w:t>SD</w:t>
            </w:r>
            <w:r>
              <w:rPr>
                <w:rFonts w:hint="eastAsia" w:ascii="Arial" w:hAnsi="Arial"/>
                <w:kern w:val="0"/>
                <w:szCs w:val="21"/>
              </w:rPr>
              <w:t>，最大支持磁盘插槽个数≥3200。</w:t>
            </w:r>
          </w:p>
        </w:tc>
      </w:tr>
      <w:tr w14:paraId="2EAF4E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7BA219C6">
            <w:pPr>
              <w:widowControl/>
              <w:spacing w:before="60" w:line="276" w:lineRule="auto"/>
              <w:ind w:firstLine="470" w:firstLineChars="196"/>
              <w:jc w:val="left"/>
              <w:rPr>
                <w:rFonts w:ascii="Arial" w:hAnsi="Arial"/>
                <w:kern w:val="0"/>
                <w:szCs w:val="21"/>
              </w:rPr>
            </w:pPr>
            <w:r>
              <w:rPr>
                <w:rFonts w:hint="eastAsia" w:ascii="Arial" w:hAnsi="Arial"/>
                <w:kern w:val="0"/>
                <w:szCs w:val="21"/>
              </w:rPr>
              <w:t>RAID方式</w:t>
            </w:r>
          </w:p>
        </w:tc>
        <w:tc>
          <w:tcPr>
            <w:tcW w:w="7938" w:type="dxa"/>
            <w:vAlign w:val="center"/>
          </w:tcPr>
          <w:p w14:paraId="1DD19ECD">
            <w:pPr>
              <w:widowControl/>
              <w:spacing w:before="60" w:line="276" w:lineRule="auto"/>
              <w:jc w:val="left"/>
              <w:rPr>
                <w:rFonts w:ascii="Arial" w:hAnsi="Arial"/>
                <w:kern w:val="0"/>
                <w:szCs w:val="21"/>
              </w:rPr>
            </w:pPr>
            <w:r>
              <w:rPr>
                <w:rFonts w:hint="eastAsia" w:ascii="Arial" w:hAnsi="Arial"/>
                <w:kern w:val="0"/>
                <w:szCs w:val="21"/>
              </w:rPr>
              <w:t>支持RAID5、RAID6或RAID-TP等主流RAID方式，最大支持在同一个RAID组内容忍任意3盘同时失效，数据不丢&amp;不中断业务。</w:t>
            </w:r>
          </w:p>
        </w:tc>
      </w:tr>
      <w:tr w14:paraId="6AD8B4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4175FC05">
            <w:pPr>
              <w:widowControl/>
              <w:spacing w:before="60" w:line="276" w:lineRule="auto"/>
              <w:ind w:firstLine="470" w:firstLineChars="196"/>
              <w:jc w:val="left"/>
              <w:rPr>
                <w:rFonts w:ascii="Arial" w:hAnsi="Arial"/>
                <w:kern w:val="0"/>
                <w:szCs w:val="21"/>
              </w:rPr>
            </w:pPr>
            <w:r>
              <w:rPr>
                <w:rFonts w:hint="eastAsia" w:ascii="Arial" w:hAnsi="Arial"/>
                <w:kern w:val="0"/>
                <w:szCs w:val="21"/>
              </w:rPr>
              <w:t>性能要求</w:t>
            </w:r>
          </w:p>
        </w:tc>
        <w:tc>
          <w:tcPr>
            <w:tcW w:w="7938" w:type="dxa"/>
            <w:vAlign w:val="center"/>
          </w:tcPr>
          <w:p w14:paraId="4FD83D10">
            <w:pPr>
              <w:widowControl/>
              <w:spacing w:before="60" w:line="276" w:lineRule="auto"/>
              <w:jc w:val="left"/>
              <w:rPr>
                <w:rFonts w:ascii="Arial" w:hAnsi="Arial" w:cs="宋体"/>
                <w:kern w:val="0"/>
                <w:szCs w:val="21"/>
              </w:rPr>
            </w:pPr>
            <w:r>
              <w:rPr>
                <w:rFonts w:hint="eastAsia" w:ascii="Arial" w:hAnsi="Arial"/>
                <w:kern w:val="0"/>
                <w:szCs w:val="21"/>
              </w:rPr>
              <w:t>读写IO响应时间小于0.5ms，包括开启增值功能的情况下，包括开启快照等功能(不少于3个快照)。</w:t>
            </w:r>
          </w:p>
        </w:tc>
      </w:tr>
      <w:tr w14:paraId="4B06C2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21BD4BFD">
            <w:pPr>
              <w:widowControl/>
              <w:spacing w:before="60" w:line="276" w:lineRule="auto"/>
              <w:ind w:firstLine="470" w:firstLineChars="196"/>
              <w:jc w:val="left"/>
              <w:rPr>
                <w:rFonts w:ascii="Arial" w:hAnsi="Arial"/>
                <w:kern w:val="0"/>
                <w:szCs w:val="21"/>
              </w:rPr>
            </w:pPr>
            <w:r>
              <w:rPr>
                <w:rFonts w:hint="eastAsia" w:ascii="Arial" w:hAnsi="Arial"/>
                <w:kern w:val="0"/>
                <w:szCs w:val="21"/>
              </w:rPr>
              <w:t>动态备用磁盘</w:t>
            </w:r>
          </w:p>
        </w:tc>
        <w:tc>
          <w:tcPr>
            <w:tcW w:w="7938" w:type="dxa"/>
            <w:vAlign w:val="center"/>
          </w:tcPr>
          <w:p w14:paraId="77D2227E">
            <w:pPr>
              <w:widowControl/>
              <w:spacing w:before="60" w:line="276" w:lineRule="auto"/>
              <w:jc w:val="left"/>
              <w:rPr>
                <w:rFonts w:ascii="Arial" w:hAnsi="Arial"/>
                <w:kern w:val="0"/>
                <w:szCs w:val="21"/>
              </w:rPr>
            </w:pPr>
            <w:r>
              <w:rPr>
                <w:rFonts w:hint="eastAsia" w:ascii="Arial" w:hAnsi="Arial"/>
                <w:kern w:val="0"/>
                <w:szCs w:val="21"/>
              </w:rPr>
              <w:t>数据打散到资源池内所有硬盘上，没有热点，硬盘负荷平均，避免个别盘因为承担更多的写操作而提前达到寿命的上限，当硬盘故障时，故障盘上的有效数据会被重构到资源池内除故障盘外的所有盘上，实现了多对多的重构，速度快，大幅缩短数据处于非冗余状态的时间；全盘参与重构，资源池内所有硬盘都会参与重构，每个盘的重构负载很低，重构过程对上层应用无影响。</w:t>
            </w:r>
          </w:p>
        </w:tc>
      </w:tr>
      <w:tr w14:paraId="07DDAD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3C0F1F75">
            <w:pPr>
              <w:widowControl/>
              <w:spacing w:before="60" w:line="276" w:lineRule="auto"/>
              <w:ind w:firstLine="470" w:firstLineChars="196"/>
              <w:jc w:val="left"/>
              <w:rPr>
                <w:rFonts w:ascii="Arial" w:hAnsi="Arial"/>
                <w:kern w:val="0"/>
                <w:szCs w:val="21"/>
              </w:rPr>
            </w:pPr>
            <w:r>
              <w:rPr>
                <w:rFonts w:hint="eastAsia" w:ascii="Arial" w:hAnsi="Arial"/>
                <w:kern w:val="0"/>
                <w:szCs w:val="21"/>
              </w:rPr>
              <w:t>主机端口配置</w:t>
            </w:r>
          </w:p>
        </w:tc>
        <w:tc>
          <w:tcPr>
            <w:tcW w:w="7938" w:type="dxa"/>
            <w:vAlign w:val="center"/>
          </w:tcPr>
          <w:p w14:paraId="1283C711">
            <w:pPr>
              <w:widowControl/>
              <w:spacing w:before="60" w:line="276" w:lineRule="auto"/>
              <w:jc w:val="left"/>
              <w:rPr>
                <w:rFonts w:ascii="Arial" w:hAnsi="Arial" w:cs="宋体"/>
                <w:kern w:val="0"/>
                <w:szCs w:val="21"/>
              </w:rPr>
            </w:pPr>
            <w:r>
              <w:rPr>
                <w:rFonts w:hint="eastAsia" w:ascii="Arial" w:hAnsi="Arial"/>
                <w:kern w:val="0"/>
                <w:szCs w:val="21"/>
              </w:rPr>
              <w:t>配置≥8</w:t>
            </w:r>
            <w:r>
              <w:rPr>
                <w:rFonts w:hint="eastAsia" w:ascii="Arial" w:hAnsi="Arial"/>
                <w:bCs/>
                <w:kern w:val="0"/>
                <w:szCs w:val="21"/>
              </w:rPr>
              <w:t>个16GB FC</w:t>
            </w:r>
            <w:r>
              <w:rPr>
                <w:rFonts w:hint="eastAsia" w:ascii="Arial" w:hAnsi="Arial"/>
                <w:kern w:val="0"/>
                <w:szCs w:val="21"/>
              </w:rPr>
              <w:t>主机端口，每控制框可扩展到96个前端主机接口。</w:t>
            </w:r>
          </w:p>
        </w:tc>
      </w:tr>
      <w:tr w14:paraId="4DDF05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Height w:val="699" w:hRule="atLeast"/>
        </w:trPr>
        <w:tc>
          <w:tcPr>
            <w:tcW w:w="2258" w:type="dxa"/>
            <w:vAlign w:val="center"/>
          </w:tcPr>
          <w:p w14:paraId="1EB59B57">
            <w:pPr>
              <w:widowControl/>
              <w:spacing w:before="60" w:line="276" w:lineRule="auto"/>
              <w:ind w:firstLine="470" w:firstLineChars="196"/>
              <w:jc w:val="left"/>
              <w:rPr>
                <w:rFonts w:ascii="Arial" w:hAnsi="Arial"/>
                <w:kern w:val="0"/>
                <w:szCs w:val="21"/>
              </w:rPr>
            </w:pPr>
            <w:r>
              <w:rPr>
                <w:rFonts w:hint="eastAsia" w:ascii="Arial" w:hAnsi="Arial"/>
                <w:kern w:val="0"/>
                <w:szCs w:val="21"/>
              </w:rPr>
              <w:t>快照功能</w:t>
            </w:r>
          </w:p>
        </w:tc>
        <w:tc>
          <w:tcPr>
            <w:tcW w:w="7938" w:type="dxa"/>
            <w:vAlign w:val="center"/>
          </w:tcPr>
          <w:p w14:paraId="4CBF2BCC">
            <w:pPr>
              <w:widowControl/>
              <w:spacing w:before="60" w:line="276" w:lineRule="auto"/>
              <w:jc w:val="left"/>
              <w:rPr>
                <w:rFonts w:ascii="Arial" w:hAnsi="Arial"/>
                <w:kern w:val="0"/>
                <w:szCs w:val="21"/>
              </w:rPr>
            </w:pPr>
            <w:r>
              <w:rPr>
                <w:rFonts w:hint="eastAsia" w:ascii="Arial" w:hAnsi="Arial"/>
                <w:kern w:val="0"/>
                <w:szCs w:val="21"/>
              </w:rPr>
              <w:t>配置ROW高密快照功能，提供每</w:t>
            </w:r>
            <w:r>
              <w:rPr>
                <w:rFonts w:ascii="Arial" w:hAnsi="Arial"/>
                <w:kern w:val="0"/>
                <w:szCs w:val="21"/>
              </w:rPr>
              <w:t>3</w:t>
            </w:r>
            <w:r>
              <w:rPr>
                <w:rFonts w:hint="eastAsia" w:ascii="Arial" w:hAnsi="Arial"/>
                <w:kern w:val="0"/>
                <w:szCs w:val="21"/>
              </w:rPr>
              <w:t>秒做一次快照备份，提供无损快照功能，系统性能不因快照数量增加而下降，同时开启快照功能时阵列时延能够稳定在＜1ms，支持安全快照，即快照不可删除，配置克隆功能，可为快照和源LUN提供一个实体副本，支持按照LUN、LUN组和主机的方式进行流量控制。</w:t>
            </w:r>
          </w:p>
        </w:tc>
      </w:tr>
      <w:tr w14:paraId="156E75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748BFD09">
            <w:pPr>
              <w:widowControl/>
              <w:spacing w:before="60" w:line="276" w:lineRule="auto"/>
              <w:jc w:val="center"/>
              <w:rPr>
                <w:rFonts w:ascii="Arial" w:hAnsi="Arial"/>
                <w:kern w:val="0"/>
                <w:szCs w:val="21"/>
              </w:rPr>
            </w:pPr>
            <w:r>
              <w:rPr>
                <w:rFonts w:hint="eastAsia" w:ascii="Arial" w:hAnsi="Arial"/>
                <w:kern w:val="0"/>
                <w:szCs w:val="21"/>
              </w:rPr>
              <w:t>防勒索检测</w:t>
            </w:r>
          </w:p>
        </w:tc>
        <w:tc>
          <w:tcPr>
            <w:tcW w:w="7938" w:type="dxa"/>
            <w:vAlign w:val="center"/>
          </w:tcPr>
          <w:p w14:paraId="446D0CC0">
            <w:pPr>
              <w:widowControl/>
              <w:spacing w:before="60" w:line="276" w:lineRule="auto"/>
              <w:jc w:val="left"/>
              <w:rPr>
                <w:rFonts w:ascii="Arial" w:hAnsi="Arial"/>
                <w:kern w:val="0"/>
                <w:szCs w:val="21"/>
              </w:rPr>
            </w:pPr>
            <w:r>
              <w:rPr>
                <w:rFonts w:hint="eastAsia" w:ascii="Arial" w:hAnsi="Arial"/>
                <w:kern w:val="0"/>
                <w:szCs w:val="21"/>
              </w:rPr>
              <w:t>支持勒索检测功能，1）面对勒索软件攻击时，勒索文件拦截功能可以有效阻止文件进行后缀名更改 2）提供实时勒索检测，及时发现勒索软件并告警 3）当文件系统已被勒索攻击，可以针对文件系统快照副本进行深度检测并标记已感染副本，并找到未被感染快照副本，恢复数据。</w:t>
            </w:r>
          </w:p>
        </w:tc>
      </w:tr>
      <w:tr w14:paraId="5DA5CE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39993335">
            <w:pPr>
              <w:widowControl/>
              <w:spacing w:before="60" w:line="276" w:lineRule="auto"/>
              <w:ind w:firstLine="470" w:firstLineChars="196"/>
              <w:jc w:val="left"/>
              <w:rPr>
                <w:rFonts w:ascii="Arial" w:hAnsi="Arial"/>
                <w:kern w:val="0"/>
                <w:szCs w:val="21"/>
              </w:rPr>
            </w:pPr>
            <w:r>
              <w:rPr>
                <w:rFonts w:hint="eastAsia" w:ascii="Arial" w:hAnsi="Arial"/>
                <w:kern w:val="0"/>
                <w:szCs w:val="21"/>
              </w:rPr>
              <w:t>数据安全</w:t>
            </w:r>
          </w:p>
        </w:tc>
        <w:tc>
          <w:tcPr>
            <w:tcW w:w="7938" w:type="dxa"/>
            <w:vAlign w:val="center"/>
          </w:tcPr>
          <w:p w14:paraId="162CF8BC">
            <w:pPr>
              <w:widowControl/>
              <w:spacing w:before="60" w:line="276" w:lineRule="auto"/>
              <w:jc w:val="left"/>
              <w:rPr>
                <w:rFonts w:ascii="Arial" w:hAnsi="Arial"/>
                <w:kern w:val="0"/>
                <w:szCs w:val="21"/>
              </w:rPr>
            </w:pPr>
            <w:r>
              <w:rPr>
                <w:rFonts w:hint="eastAsia" w:ascii="Arial" w:hAnsi="Arial"/>
                <w:kern w:val="0"/>
                <w:szCs w:val="21"/>
              </w:rPr>
              <w:t>存储系统对非正常操作具有保护能力，对可能引起数据改变的人工操作具有警告确认提示，不同类型或不同接口的磁盘阵列控制器及其插拔盒具有防插错措施，对管理用户进行安全身份认证。</w:t>
            </w:r>
          </w:p>
        </w:tc>
      </w:tr>
      <w:tr w14:paraId="01148B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33BD7931">
            <w:pPr>
              <w:widowControl/>
              <w:spacing w:before="60" w:line="276" w:lineRule="auto"/>
              <w:ind w:firstLine="470" w:firstLineChars="196"/>
              <w:jc w:val="left"/>
              <w:rPr>
                <w:rFonts w:ascii="Arial" w:hAnsi="Arial"/>
                <w:kern w:val="0"/>
                <w:szCs w:val="21"/>
              </w:rPr>
            </w:pPr>
            <w:r>
              <w:rPr>
                <w:rFonts w:hint="eastAsia" w:ascii="Arial" w:hAnsi="Arial"/>
                <w:kern w:val="0"/>
                <w:szCs w:val="21"/>
              </w:rPr>
              <w:t>操作系统支持</w:t>
            </w:r>
          </w:p>
        </w:tc>
        <w:tc>
          <w:tcPr>
            <w:tcW w:w="7938" w:type="dxa"/>
            <w:vAlign w:val="center"/>
          </w:tcPr>
          <w:p w14:paraId="6943F0ED">
            <w:pPr>
              <w:widowControl/>
              <w:spacing w:before="60" w:line="276" w:lineRule="auto"/>
              <w:jc w:val="left"/>
              <w:rPr>
                <w:rFonts w:ascii="Arial" w:hAnsi="Arial" w:cs="宋体"/>
                <w:kern w:val="0"/>
                <w:szCs w:val="21"/>
              </w:rPr>
            </w:pPr>
            <w:r>
              <w:rPr>
                <w:rFonts w:hint="eastAsia" w:ascii="Arial" w:hAnsi="Arial"/>
                <w:kern w:val="0"/>
                <w:szCs w:val="21"/>
              </w:rPr>
              <w:t>支持Windows、Linux、AIX、Solaris和Vmware等主流操作系统。</w:t>
            </w:r>
          </w:p>
        </w:tc>
      </w:tr>
      <w:tr w14:paraId="7E993B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40C98347">
            <w:pPr>
              <w:widowControl/>
              <w:spacing w:before="60" w:line="276" w:lineRule="auto"/>
              <w:jc w:val="center"/>
              <w:rPr>
                <w:rFonts w:ascii="Arial" w:hAnsi="Arial"/>
                <w:kern w:val="0"/>
                <w:szCs w:val="21"/>
              </w:rPr>
            </w:pPr>
            <w:r>
              <w:rPr>
                <w:rFonts w:hint="eastAsia" w:ascii="Arial" w:hAnsi="Arial"/>
                <w:kern w:val="0"/>
                <w:szCs w:val="21"/>
              </w:rPr>
              <w:t>硬件兼容性支持</w:t>
            </w:r>
          </w:p>
        </w:tc>
        <w:tc>
          <w:tcPr>
            <w:tcW w:w="7938" w:type="dxa"/>
            <w:vAlign w:val="center"/>
          </w:tcPr>
          <w:p w14:paraId="2F71E5AA">
            <w:pPr>
              <w:widowControl/>
              <w:spacing w:before="60" w:line="276" w:lineRule="auto"/>
              <w:jc w:val="left"/>
              <w:rPr>
                <w:rFonts w:ascii="Arial" w:hAnsi="Arial" w:cs="宋体"/>
                <w:kern w:val="0"/>
                <w:szCs w:val="21"/>
              </w:rPr>
            </w:pPr>
            <w:r>
              <w:rPr>
                <w:rFonts w:hint="eastAsia" w:ascii="Arial" w:hAnsi="Arial"/>
                <w:kern w:val="0"/>
                <w:szCs w:val="21"/>
              </w:rPr>
              <w:t>支持各品牌PC服务器，支持博科SAN FC交换机。</w:t>
            </w:r>
          </w:p>
        </w:tc>
      </w:tr>
      <w:tr w14:paraId="168A22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2EA2ABB5">
            <w:pPr>
              <w:widowControl/>
              <w:spacing w:before="60" w:line="276" w:lineRule="auto"/>
              <w:ind w:firstLine="470" w:firstLineChars="196"/>
              <w:jc w:val="left"/>
              <w:rPr>
                <w:rFonts w:ascii="Arial" w:hAnsi="Arial"/>
                <w:kern w:val="0"/>
                <w:szCs w:val="21"/>
              </w:rPr>
            </w:pPr>
            <w:r>
              <w:rPr>
                <w:rFonts w:hint="eastAsia" w:ascii="Arial" w:hAnsi="Arial"/>
                <w:kern w:val="0"/>
                <w:szCs w:val="21"/>
              </w:rPr>
              <w:t>负载均衡</w:t>
            </w:r>
          </w:p>
        </w:tc>
        <w:tc>
          <w:tcPr>
            <w:tcW w:w="7938" w:type="dxa"/>
            <w:vAlign w:val="center"/>
          </w:tcPr>
          <w:p w14:paraId="45D6722C">
            <w:pPr>
              <w:widowControl/>
              <w:spacing w:before="60" w:line="276" w:lineRule="auto"/>
              <w:jc w:val="left"/>
              <w:rPr>
                <w:rFonts w:ascii="Arial" w:hAnsi="Arial" w:cs="宋体"/>
                <w:kern w:val="0"/>
                <w:szCs w:val="21"/>
              </w:rPr>
            </w:pPr>
            <w:r>
              <w:rPr>
                <w:rFonts w:hint="eastAsia" w:ascii="Arial" w:hAnsi="Arial" w:cs="宋体"/>
                <w:kern w:val="0"/>
                <w:szCs w:val="21"/>
              </w:rPr>
              <w:t>采用Symmetric Active-Active架构。通过均衡算法，实现每个控制器接收到的主机读写请求是均衡的；通过全局缓存技术实现 LUN 无归属，每个控制器收到的读写请求，就在本控制器处理，实现了控制器压力均衡</w:t>
            </w:r>
            <w:r>
              <w:rPr>
                <w:rFonts w:hint="eastAsia" w:ascii="Arial" w:hAnsi="Arial"/>
                <w:kern w:val="0"/>
                <w:szCs w:val="21"/>
              </w:rPr>
              <w:t>；</w:t>
            </w:r>
            <w:r>
              <w:rPr>
                <w:rFonts w:hint="eastAsia" w:ascii="Arial" w:hAnsi="Arial" w:cs="宋体"/>
                <w:kern w:val="0"/>
                <w:szCs w:val="21"/>
              </w:rPr>
              <w:t>数据均匀的分布到存储池内的所有硬盘上，实现盘的压力均衡。</w:t>
            </w:r>
          </w:p>
        </w:tc>
      </w:tr>
      <w:tr w14:paraId="4934EB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7663FF76">
            <w:pPr>
              <w:widowControl/>
              <w:spacing w:before="60" w:line="276" w:lineRule="auto"/>
              <w:ind w:firstLine="470" w:firstLineChars="196"/>
              <w:jc w:val="left"/>
              <w:rPr>
                <w:rFonts w:ascii="Arial" w:hAnsi="Arial"/>
                <w:kern w:val="0"/>
                <w:szCs w:val="21"/>
              </w:rPr>
            </w:pPr>
            <w:r>
              <w:rPr>
                <w:rFonts w:hint="eastAsia" w:ascii="Arial" w:hAnsi="Arial"/>
                <w:kern w:val="0"/>
                <w:szCs w:val="21"/>
              </w:rPr>
              <w:t>功能要求</w:t>
            </w:r>
          </w:p>
        </w:tc>
        <w:tc>
          <w:tcPr>
            <w:tcW w:w="7938" w:type="dxa"/>
            <w:vAlign w:val="center"/>
          </w:tcPr>
          <w:p w14:paraId="551C946C">
            <w:pPr>
              <w:widowControl/>
              <w:spacing w:before="60" w:line="276" w:lineRule="auto"/>
              <w:jc w:val="left"/>
              <w:rPr>
                <w:rFonts w:ascii="Arial" w:hAnsi="Arial" w:cs="宋体"/>
                <w:kern w:val="0"/>
                <w:szCs w:val="21"/>
              </w:rPr>
            </w:pPr>
            <w:r>
              <w:rPr>
                <w:rFonts w:hint="eastAsia" w:ascii="Arial" w:hAnsi="Arial"/>
                <w:kern w:val="0"/>
                <w:szCs w:val="21"/>
              </w:rPr>
              <w:t>配置存储资源管理、智能自动精简配置、智能服务质量、LUN迁移、虚拟快照、远程复制、克隆、数据加密、双活、高密快照、异构虚拟化等功能。</w:t>
            </w:r>
          </w:p>
        </w:tc>
      </w:tr>
      <w:tr w14:paraId="04F7B8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3E203725">
            <w:pPr>
              <w:widowControl/>
              <w:spacing w:before="60" w:line="276" w:lineRule="auto"/>
              <w:ind w:firstLine="470" w:firstLineChars="196"/>
              <w:jc w:val="left"/>
              <w:rPr>
                <w:rFonts w:ascii="Arial" w:hAnsi="Arial"/>
                <w:kern w:val="0"/>
                <w:szCs w:val="21"/>
              </w:rPr>
            </w:pPr>
            <w:r>
              <w:rPr>
                <w:rFonts w:hint="eastAsia" w:ascii="Arial" w:hAnsi="Arial"/>
                <w:kern w:val="0"/>
                <w:szCs w:val="21"/>
              </w:rPr>
              <w:t>可维护性</w:t>
            </w:r>
          </w:p>
        </w:tc>
        <w:tc>
          <w:tcPr>
            <w:tcW w:w="7938" w:type="dxa"/>
            <w:vAlign w:val="center"/>
          </w:tcPr>
          <w:p w14:paraId="2B258DCD">
            <w:pPr>
              <w:widowControl/>
              <w:spacing w:before="60" w:line="276" w:lineRule="auto"/>
              <w:jc w:val="left"/>
              <w:rPr>
                <w:rFonts w:ascii="Arial" w:hAnsi="Arial" w:cs="宋体"/>
                <w:kern w:val="0"/>
                <w:szCs w:val="21"/>
              </w:rPr>
            </w:pPr>
            <w:r>
              <w:rPr>
                <w:rFonts w:hint="eastAsia" w:ascii="Arial" w:hAnsi="Arial"/>
                <w:kern w:val="0"/>
                <w:szCs w:val="21"/>
              </w:rPr>
              <w:t>在不中断业务运行、不影响存储运行、不破坏数据的情况下，要求具备在线扩展、在线维护能力，包括在线版本升级、在线性能调优、在线更换网卡部件、在线扩展硬盘、在线扩展控制器等。</w:t>
            </w:r>
          </w:p>
        </w:tc>
      </w:tr>
      <w:tr w14:paraId="2A8AD6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59B051F6">
            <w:pPr>
              <w:widowControl/>
              <w:spacing w:before="60" w:line="276" w:lineRule="auto"/>
              <w:jc w:val="left"/>
              <w:rPr>
                <w:rFonts w:ascii="Arial" w:hAnsi="Arial"/>
                <w:kern w:val="0"/>
                <w:szCs w:val="21"/>
              </w:rPr>
            </w:pPr>
            <w:r>
              <w:rPr>
                <w:rFonts w:hint="eastAsia" w:ascii="Arial" w:hAnsi="Arial"/>
                <w:kern w:val="0"/>
                <w:szCs w:val="21"/>
              </w:rPr>
              <w:t>运维管理与监控要求</w:t>
            </w:r>
          </w:p>
        </w:tc>
        <w:tc>
          <w:tcPr>
            <w:tcW w:w="7938" w:type="dxa"/>
            <w:vAlign w:val="center"/>
          </w:tcPr>
          <w:p w14:paraId="1C336A21">
            <w:pPr>
              <w:widowControl/>
              <w:spacing w:before="60" w:line="276" w:lineRule="auto"/>
              <w:jc w:val="left"/>
              <w:rPr>
                <w:rFonts w:ascii="Arial" w:hAnsi="Arial" w:cs="宋体"/>
                <w:kern w:val="0"/>
                <w:szCs w:val="21"/>
              </w:rPr>
            </w:pPr>
            <w:r>
              <w:rPr>
                <w:rFonts w:hint="eastAsia" w:ascii="Arial" w:hAnsi="Arial"/>
                <w:kern w:val="0"/>
                <w:szCs w:val="21"/>
              </w:rPr>
              <w:t>要求投标产品自带集中管理平台软件，有功能全面，图形化的管理软件，包括：盘阵，卷管理软件。配置存储的图形化管理配置和监控软件，支持提前≥180天容量预测，提供SSD寿命监控技术，并在系统中显示每一块SSD硬盘的磨损度以及预估剩余寿命，支持系统安全管理。</w:t>
            </w:r>
          </w:p>
        </w:tc>
      </w:tr>
      <w:tr w14:paraId="792EB3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48DCEF3C">
            <w:pPr>
              <w:widowControl/>
              <w:spacing w:before="60" w:line="276" w:lineRule="auto"/>
              <w:ind w:firstLine="470" w:firstLineChars="196"/>
              <w:jc w:val="left"/>
              <w:rPr>
                <w:rFonts w:ascii="Arial" w:hAnsi="Arial"/>
                <w:kern w:val="0"/>
                <w:szCs w:val="21"/>
              </w:rPr>
            </w:pPr>
            <w:r>
              <w:rPr>
                <w:rFonts w:hint="eastAsia" w:ascii="Arial" w:hAnsi="Arial"/>
                <w:kern w:val="0"/>
                <w:szCs w:val="21"/>
              </w:rPr>
              <w:t>维保要求</w:t>
            </w:r>
          </w:p>
        </w:tc>
        <w:tc>
          <w:tcPr>
            <w:tcW w:w="7938" w:type="dxa"/>
            <w:vAlign w:val="center"/>
          </w:tcPr>
          <w:p w14:paraId="681A79EF">
            <w:pPr>
              <w:widowControl/>
              <w:spacing w:before="60" w:line="276" w:lineRule="auto"/>
              <w:jc w:val="left"/>
              <w:rPr>
                <w:rFonts w:ascii="Arial" w:hAnsi="Arial" w:cs="宋体"/>
                <w:kern w:val="0"/>
                <w:szCs w:val="21"/>
              </w:rPr>
            </w:pPr>
            <w:r>
              <w:rPr>
                <w:rFonts w:hint="eastAsia" w:ascii="Arial" w:hAnsi="Arial"/>
                <w:kern w:val="0"/>
                <w:szCs w:val="21"/>
              </w:rPr>
              <w:t>维保期内提供定期巡检、应急响应、现场技术支持、故障诊断处理、性能分析服务</w:t>
            </w:r>
          </w:p>
        </w:tc>
      </w:tr>
      <w:tr w14:paraId="540ED3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768" w:hRule="atLeast"/>
        </w:trPr>
        <w:tc>
          <w:tcPr>
            <w:tcW w:w="2258" w:type="dxa"/>
            <w:vAlign w:val="center"/>
          </w:tcPr>
          <w:p w14:paraId="5A32ACA5">
            <w:pPr>
              <w:widowControl/>
              <w:spacing w:before="60" w:line="276" w:lineRule="auto"/>
              <w:jc w:val="left"/>
              <w:rPr>
                <w:rFonts w:ascii="Arial" w:hAnsi="Arial"/>
                <w:kern w:val="0"/>
                <w:szCs w:val="21"/>
              </w:rPr>
            </w:pPr>
            <w:r>
              <w:rPr>
                <w:rFonts w:hint="eastAsia" w:ascii="Arial" w:hAnsi="Arial"/>
                <w:kern w:val="0"/>
                <w:szCs w:val="21"/>
              </w:rPr>
              <w:t>配置项完整性要求</w:t>
            </w:r>
          </w:p>
        </w:tc>
        <w:tc>
          <w:tcPr>
            <w:tcW w:w="7938" w:type="dxa"/>
            <w:vAlign w:val="center"/>
          </w:tcPr>
          <w:p w14:paraId="1FF0438D">
            <w:pPr>
              <w:widowControl/>
              <w:spacing w:before="60" w:line="276" w:lineRule="auto"/>
              <w:jc w:val="left"/>
              <w:rPr>
                <w:rFonts w:ascii="Arial" w:hAnsi="Arial"/>
                <w:kern w:val="0"/>
                <w:szCs w:val="21"/>
              </w:rPr>
            </w:pPr>
            <w:r>
              <w:rPr>
                <w:rFonts w:hint="eastAsia" w:ascii="Arial" w:hAnsi="Arial"/>
                <w:kern w:val="0"/>
                <w:szCs w:val="21"/>
              </w:rPr>
              <w:t>原厂商须承诺保证根据招标人技术要求所做出的设备配置项的完整性，如果缺漏或不符，应无条件承担补充或更换的责任；存储配置必须全冗余结构；</w:t>
            </w:r>
          </w:p>
        </w:tc>
      </w:tr>
      <w:tr w14:paraId="7A8F18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5" w:type="dxa"/>
            <w:left w:w="85" w:type="dxa"/>
            <w:bottom w:w="85" w:type="dxa"/>
            <w:right w:w="85" w:type="dxa"/>
          </w:tblCellMar>
        </w:tblPrEx>
        <w:trPr>
          <w:cantSplit/>
        </w:trPr>
        <w:tc>
          <w:tcPr>
            <w:tcW w:w="2258" w:type="dxa"/>
            <w:vAlign w:val="center"/>
          </w:tcPr>
          <w:p w14:paraId="50117970">
            <w:pPr>
              <w:widowControl/>
              <w:spacing w:before="60" w:line="276" w:lineRule="auto"/>
              <w:ind w:firstLine="470" w:firstLineChars="196"/>
              <w:jc w:val="left"/>
              <w:rPr>
                <w:rFonts w:ascii="Arial" w:hAnsi="Arial"/>
                <w:kern w:val="0"/>
                <w:szCs w:val="21"/>
              </w:rPr>
            </w:pPr>
            <w:r>
              <w:rPr>
                <w:rFonts w:hint="eastAsia" w:ascii="Arial" w:hAnsi="Arial"/>
                <w:kern w:val="0"/>
                <w:szCs w:val="21"/>
              </w:rPr>
              <w:t>服务</w:t>
            </w:r>
          </w:p>
        </w:tc>
        <w:tc>
          <w:tcPr>
            <w:tcW w:w="7938" w:type="dxa"/>
            <w:vAlign w:val="center"/>
          </w:tcPr>
          <w:p w14:paraId="30C16A72">
            <w:pPr>
              <w:widowControl/>
              <w:spacing w:before="60" w:line="276" w:lineRule="auto"/>
              <w:rPr>
                <w:rFonts w:ascii="Arial" w:hAnsi="Arial"/>
                <w:kern w:val="0"/>
                <w:szCs w:val="21"/>
              </w:rPr>
            </w:pPr>
            <w:r>
              <w:rPr>
                <w:rFonts w:hint="eastAsia" w:ascii="Arial" w:hAnsi="Arial"/>
                <w:kern w:val="0"/>
                <w:szCs w:val="21"/>
              </w:rPr>
              <w:t>制造商原厂5年7*24*4小时响应服务，制造商原厂安装实施服务</w:t>
            </w:r>
          </w:p>
        </w:tc>
      </w:tr>
    </w:tbl>
    <w:p w14:paraId="0E7A272E"/>
    <w:p w14:paraId="6B1CD6A7">
      <w:pPr>
        <w:jc w:val="center"/>
        <w:rPr>
          <w:rFonts w:ascii="宋体"/>
          <w:sz w:val="32"/>
        </w:rPr>
      </w:pPr>
      <w:r>
        <w:rPr>
          <w:rFonts w:hint="eastAsia" w:ascii="宋体"/>
          <w:sz w:val="32"/>
        </w:rPr>
        <w:t>光纤交换机调研参数</w:t>
      </w:r>
    </w:p>
    <w:tbl>
      <w:tblPr>
        <w:tblStyle w:val="8"/>
        <w:tblW w:w="10201" w:type="dxa"/>
        <w:jc w:val="center"/>
        <w:tblLayout w:type="autofit"/>
        <w:tblCellMar>
          <w:top w:w="0" w:type="dxa"/>
          <w:left w:w="108" w:type="dxa"/>
          <w:bottom w:w="0" w:type="dxa"/>
          <w:right w:w="108" w:type="dxa"/>
        </w:tblCellMar>
      </w:tblPr>
      <w:tblGrid>
        <w:gridCol w:w="2384"/>
        <w:gridCol w:w="7817"/>
      </w:tblGrid>
      <w:tr w14:paraId="31A7AA90">
        <w:tblPrEx>
          <w:tblCellMar>
            <w:top w:w="0" w:type="dxa"/>
            <w:left w:w="108" w:type="dxa"/>
            <w:bottom w:w="0" w:type="dxa"/>
            <w:right w:w="108" w:type="dxa"/>
          </w:tblCellMar>
        </w:tblPrEx>
        <w:trPr>
          <w:trHeight w:val="284"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shd w:val="clear" w:color="auto" w:fill="F2F2F2"/>
            <w:noWrap/>
            <w:vAlign w:val="center"/>
          </w:tcPr>
          <w:p w14:paraId="1A779796">
            <w:pPr>
              <w:widowControl/>
              <w:spacing w:before="60" w:line="276" w:lineRule="auto"/>
              <w:ind w:firstLine="470" w:firstLineChars="196"/>
              <w:jc w:val="left"/>
              <w:rPr>
                <w:rFonts w:ascii="Arial" w:hAnsi="Arial"/>
                <w:kern w:val="0"/>
                <w:szCs w:val="21"/>
              </w:rPr>
            </w:pPr>
            <w:r>
              <w:rPr>
                <w:rFonts w:hint="eastAsia" w:ascii="Arial" w:hAnsi="Arial"/>
                <w:kern w:val="0"/>
                <w:szCs w:val="21"/>
              </w:rPr>
              <w:t>技术指标</w:t>
            </w:r>
          </w:p>
        </w:tc>
        <w:tc>
          <w:tcPr>
            <w:tcW w:w="7817" w:type="dxa"/>
            <w:tcBorders>
              <w:top w:val="single" w:color="auto" w:sz="8" w:space="0"/>
              <w:left w:val="single" w:color="auto" w:sz="8" w:space="0"/>
              <w:bottom w:val="single" w:color="auto" w:sz="8" w:space="0"/>
              <w:right w:val="single" w:color="auto" w:sz="8" w:space="0"/>
              <w:tl2br w:val="nil"/>
              <w:tr2bl w:val="nil"/>
            </w:tcBorders>
            <w:shd w:val="clear" w:color="auto" w:fill="F2F2F2"/>
            <w:noWrap/>
            <w:vAlign w:val="center"/>
          </w:tcPr>
          <w:p w14:paraId="0E55845D">
            <w:pPr>
              <w:widowControl/>
              <w:spacing w:before="60" w:line="276" w:lineRule="auto"/>
              <w:ind w:firstLine="470" w:firstLineChars="196"/>
              <w:jc w:val="left"/>
              <w:rPr>
                <w:rFonts w:ascii="Arial" w:hAnsi="Arial"/>
                <w:kern w:val="0"/>
                <w:szCs w:val="21"/>
              </w:rPr>
            </w:pPr>
            <w:r>
              <w:rPr>
                <w:rFonts w:hint="eastAsia" w:ascii="Arial" w:hAnsi="Arial"/>
                <w:kern w:val="0"/>
                <w:szCs w:val="21"/>
              </w:rPr>
              <w:t>技术要求</w:t>
            </w:r>
          </w:p>
        </w:tc>
      </w:tr>
      <w:tr w14:paraId="67F1A216">
        <w:tblPrEx>
          <w:tblCellMar>
            <w:top w:w="0" w:type="dxa"/>
            <w:left w:w="108" w:type="dxa"/>
            <w:bottom w:w="0" w:type="dxa"/>
            <w:right w:w="108" w:type="dxa"/>
          </w:tblCellMar>
        </w:tblPrEx>
        <w:trPr>
          <w:trHeight w:val="314"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48DE2799">
            <w:pPr>
              <w:widowControl/>
              <w:spacing w:before="60" w:line="276" w:lineRule="auto"/>
              <w:ind w:firstLine="470" w:firstLineChars="196"/>
              <w:jc w:val="left"/>
              <w:rPr>
                <w:rFonts w:ascii="Arial" w:hAnsi="Arial"/>
                <w:kern w:val="0"/>
                <w:szCs w:val="21"/>
              </w:rPr>
            </w:pPr>
            <w:r>
              <w:rPr>
                <w:rFonts w:hint="eastAsia" w:ascii="Arial" w:hAnsi="Arial"/>
                <w:kern w:val="0"/>
                <w:szCs w:val="21"/>
              </w:rPr>
              <w:t>品牌</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44900A3C">
            <w:pPr>
              <w:widowControl/>
              <w:spacing w:before="60" w:line="276" w:lineRule="auto"/>
              <w:ind w:firstLine="470" w:firstLineChars="196"/>
              <w:jc w:val="left"/>
              <w:rPr>
                <w:rFonts w:ascii="Arial" w:hAnsi="Arial"/>
                <w:kern w:val="0"/>
                <w:szCs w:val="21"/>
              </w:rPr>
            </w:pPr>
            <w:r>
              <w:rPr>
                <w:rFonts w:hint="eastAsia" w:ascii="Arial" w:hAnsi="Arial"/>
                <w:kern w:val="0"/>
                <w:szCs w:val="21"/>
              </w:rPr>
              <w:t>必须为Broadcom(博科)合作品牌，且在博科官网可查。</w:t>
            </w:r>
          </w:p>
        </w:tc>
      </w:tr>
      <w:tr w14:paraId="6FC7E442">
        <w:tblPrEx>
          <w:tblCellMar>
            <w:top w:w="0" w:type="dxa"/>
            <w:left w:w="108" w:type="dxa"/>
            <w:bottom w:w="0" w:type="dxa"/>
            <w:right w:w="108" w:type="dxa"/>
          </w:tblCellMar>
        </w:tblPrEx>
        <w:trPr>
          <w:trHeight w:val="629"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49236B82">
            <w:pPr>
              <w:widowControl/>
              <w:spacing w:before="60" w:line="276" w:lineRule="auto"/>
              <w:ind w:firstLine="470" w:firstLineChars="196"/>
              <w:jc w:val="left"/>
              <w:rPr>
                <w:rFonts w:ascii="Arial" w:hAnsi="Arial"/>
                <w:kern w:val="0"/>
                <w:szCs w:val="21"/>
              </w:rPr>
            </w:pPr>
            <w:r>
              <w:rPr>
                <w:rFonts w:hint="eastAsia" w:ascii="Arial" w:hAnsi="Arial"/>
                <w:kern w:val="0"/>
                <w:szCs w:val="21"/>
              </w:rPr>
              <w:t>端口数量</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54A099D5">
            <w:pPr>
              <w:widowControl/>
              <w:spacing w:before="60" w:line="276" w:lineRule="auto"/>
              <w:ind w:firstLine="470" w:firstLineChars="196"/>
              <w:jc w:val="left"/>
              <w:rPr>
                <w:rFonts w:ascii="Arial" w:hAnsi="Arial"/>
                <w:kern w:val="0"/>
                <w:szCs w:val="21"/>
              </w:rPr>
            </w:pPr>
            <w:r>
              <w:rPr>
                <w:rFonts w:hint="eastAsia" w:ascii="Arial" w:hAnsi="Arial"/>
                <w:kern w:val="0"/>
                <w:szCs w:val="21"/>
              </w:rPr>
              <w:t>FC port单端口速率≥32Gb/s，最大可扩展端口数≥24，本次配置并激活24端口16Gb/s光模块</w:t>
            </w:r>
          </w:p>
        </w:tc>
      </w:tr>
      <w:tr w14:paraId="20CA50A2">
        <w:tblPrEx>
          <w:tblCellMar>
            <w:top w:w="0" w:type="dxa"/>
            <w:left w:w="108" w:type="dxa"/>
            <w:bottom w:w="0" w:type="dxa"/>
            <w:right w:w="108" w:type="dxa"/>
          </w:tblCellMar>
        </w:tblPrEx>
        <w:trPr>
          <w:trHeight w:val="314"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37B1C714">
            <w:pPr>
              <w:widowControl/>
              <w:spacing w:before="60" w:line="276" w:lineRule="auto"/>
              <w:ind w:firstLine="470" w:firstLineChars="196"/>
              <w:jc w:val="left"/>
              <w:rPr>
                <w:rFonts w:ascii="Arial" w:hAnsi="Arial"/>
                <w:kern w:val="0"/>
                <w:szCs w:val="21"/>
              </w:rPr>
            </w:pPr>
            <w:r>
              <w:rPr>
                <w:rFonts w:hint="eastAsia" w:ascii="Arial" w:hAnsi="Arial"/>
                <w:kern w:val="0"/>
                <w:szCs w:val="21"/>
              </w:rPr>
              <w:t>端口速率</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521EB68F">
            <w:pPr>
              <w:widowControl/>
              <w:spacing w:before="60" w:line="276" w:lineRule="auto"/>
              <w:ind w:firstLine="470" w:firstLineChars="196"/>
              <w:jc w:val="left"/>
              <w:rPr>
                <w:rFonts w:ascii="Arial" w:hAnsi="Arial"/>
                <w:kern w:val="0"/>
                <w:szCs w:val="21"/>
              </w:rPr>
            </w:pPr>
            <w:r>
              <w:rPr>
                <w:rFonts w:hint="eastAsia" w:ascii="Arial" w:hAnsi="Arial"/>
                <w:kern w:val="0"/>
                <w:szCs w:val="21"/>
              </w:rPr>
              <w:t>所有FC端口支持32Gb全线速</w:t>
            </w:r>
          </w:p>
        </w:tc>
      </w:tr>
      <w:tr w14:paraId="5265209C">
        <w:tblPrEx>
          <w:tblCellMar>
            <w:top w:w="0" w:type="dxa"/>
            <w:left w:w="108" w:type="dxa"/>
            <w:bottom w:w="0" w:type="dxa"/>
            <w:right w:w="108" w:type="dxa"/>
          </w:tblCellMar>
        </w:tblPrEx>
        <w:trPr>
          <w:trHeight w:val="629"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63428357">
            <w:pPr>
              <w:widowControl/>
              <w:spacing w:before="60" w:line="276" w:lineRule="auto"/>
              <w:ind w:firstLine="470" w:firstLineChars="196"/>
              <w:jc w:val="left"/>
              <w:rPr>
                <w:rFonts w:ascii="Arial" w:hAnsi="Arial"/>
                <w:kern w:val="0"/>
                <w:szCs w:val="21"/>
              </w:rPr>
            </w:pPr>
            <w:r>
              <w:rPr>
                <w:rFonts w:hint="eastAsia" w:ascii="Arial" w:hAnsi="Arial"/>
                <w:kern w:val="0"/>
                <w:szCs w:val="21"/>
              </w:rPr>
              <w:t>端口类型</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59387B0B">
            <w:pPr>
              <w:widowControl/>
              <w:spacing w:before="60" w:line="276" w:lineRule="auto"/>
              <w:ind w:firstLine="470" w:firstLineChars="196"/>
              <w:jc w:val="left"/>
              <w:rPr>
                <w:rFonts w:ascii="Arial" w:hAnsi="Arial"/>
                <w:kern w:val="0"/>
                <w:szCs w:val="21"/>
              </w:rPr>
            </w:pPr>
            <w:r>
              <w:rPr>
                <w:rFonts w:hint="eastAsia" w:ascii="Arial" w:hAnsi="Arial"/>
                <w:kern w:val="0"/>
                <w:szCs w:val="21"/>
              </w:rPr>
              <w:t>支持D_PORT（ClearLink 诊断端口）、 E_PORT、EX_PORT、F_PORT、 AE_PORT、可选端口类型控制</w:t>
            </w:r>
          </w:p>
        </w:tc>
      </w:tr>
      <w:tr w14:paraId="5F431E8D">
        <w:tblPrEx>
          <w:tblCellMar>
            <w:top w:w="0" w:type="dxa"/>
            <w:left w:w="108" w:type="dxa"/>
            <w:bottom w:w="0" w:type="dxa"/>
            <w:right w:w="108" w:type="dxa"/>
          </w:tblCellMar>
        </w:tblPrEx>
        <w:trPr>
          <w:trHeight w:val="599"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2C301271">
            <w:pPr>
              <w:widowControl/>
              <w:spacing w:before="60" w:line="276" w:lineRule="auto"/>
              <w:ind w:firstLine="470" w:firstLineChars="196"/>
              <w:jc w:val="left"/>
              <w:rPr>
                <w:rFonts w:ascii="Arial" w:hAnsi="Arial"/>
                <w:kern w:val="0"/>
                <w:szCs w:val="21"/>
              </w:rPr>
            </w:pPr>
            <w:r>
              <w:rPr>
                <w:rFonts w:hint="eastAsia" w:ascii="Arial" w:hAnsi="Arial"/>
                <w:kern w:val="0"/>
                <w:szCs w:val="21"/>
              </w:rPr>
              <w:t>接口光模块特性</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06327F40">
            <w:pPr>
              <w:widowControl/>
              <w:spacing w:before="60" w:line="276" w:lineRule="auto"/>
              <w:ind w:firstLine="470" w:firstLineChars="196"/>
              <w:jc w:val="left"/>
              <w:rPr>
                <w:rFonts w:ascii="Arial" w:hAnsi="Arial"/>
                <w:kern w:val="0"/>
                <w:szCs w:val="21"/>
              </w:rPr>
            </w:pPr>
            <w:r>
              <w:rPr>
                <w:rFonts w:hint="eastAsia" w:ascii="Arial" w:hAnsi="Arial"/>
                <w:kern w:val="0"/>
                <w:szCs w:val="21"/>
              </w:rPr>
              <w:t>FC端口速度支持自动检测功能，可兼容32/16/8/4Gbps 光纤通道链路；可在线热插拔</w:t>
            </w:r>
          </w:p>
        </w:tc>
      </w:tr>
      <w:tr w14:paraId="50503E92">
        <w:tblPrEx>
          <w:tblCellMar>
            <w:top w:w="0" w:type="dxa"/>
            <w:left w:w="108" w:type="dxa"/>
            <w:bottom w:w="0" w:type="dxa"/>
            <w:right w:w="108" w:type="dxa"/>
          </w:tblCellMar>
        </w:tblPrEx>
        <w:trPr>
          <w:trHeight w:val="629"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64281E08">
            <w:pPr>
              <w:widowControl/>
              <w:spacing w:before="60" w:line="276" w:lineRule="auto"/>
              <w:ind w:firstLine="470" w:firstLineChars="196"/>
              <w:jc w:val="left"/>
              <w:rPr>
                <w:rFonts w:ascii="Arial" w:hAnsi="Arial"/>
                <w:kern w:val="0"/>
                <w:szCs w:val="21"/>
              </w:rPr>
            </w:pPr>
            <w:r>
              <w:rPr>
                <w:rFonts w:hint="eastAsia" w:ascii="Arial" w:hAnsi="Arial"/>
                <w:kern w:val="0"/>
                <w:szCs w:val="21"/>
              </w:rPr>
              <w:t>连接性</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29FB134F">
            <w:pPr>
              <w:widowControl/>
              <w:spacing w:before="60" w:line="276" w:lineRule="auto"/>
              <w:ind w:firstLine="470" w:firstLineChars="196"/>
              <w:jc w:val="left"/>
              <w:rPr>
                <w:rFonts w:ascii="Arial" w:hAnsi="Arial"/>
                <w:kern w:val="0"/>
                <w:szCs w:val="21"/>
              </w:rPr>
            </w:pPr>
            <w:r>
              <w:rPr>
                <w:rFonts w:hint="eastAsia" w:ascii="Arial" w:hAnsi="Arial"/>
                <w:kern w:val="0"/>
                <w:szCs w:val="21"/>
              </w:rPr>
              <w:t>1、支持现EMC、HP、华为存储厂家的存储设备；</w:t>
            </w:r>
          </w:p>
          <w:p w14:paraId="635F66C4">
            <w:pPr>
              <w:widowControl/>
              <w:spacing w:before="60" w:line="276" w:lineRule="auto"/>
              <w:ind w:firstLine="470" w:firstLineChars="196"/>
              <w:jc w:val="left"/>
              <w:rPr>
                <w:rFonts w:ascii="Arial" w:hAnsi="Arial"/>
                <w:kern w:val="0"/>
                <w:szCs w:val="21"/>
              </w:rPr>
            </w:pPr>
            <w:r>
              <w:rPr>
                <w:rFonts w:hint="eastAsia" w:ascii="Arial" w:hAnsi="Arial"/>
                <w:kern w:val="0"/>
                <w:szCs w:val="21"/>
              </w:rPr>
              <w:t>2、支持各类服务器；</w:t>
            </w:r>
          </w:p>
          <w:p w14:paraId="1E28A9FB">
            <w:pPr>
              <w:widowControl/>
              <w:spacing w:before="60" w:line="276" w:lineRule="auto"/>
              <w:ind w:firstLine="470" w:firstLineChars="196"/>
              <w:jc w:val="left"/>
              <w:rPr>
                <w:rFonts w:ascii="Arial" w:hAnsi="Arial"/>
                <w:kern w:val="0"/>
                <w:szCs w:val="21"/>
              </w:rPr>
            </w:pPr>
            <w:r>
              <w:rPr>
                <w:rFonts w:hint="eastAsia" w:ascii="Arial" w:hAnsi="Arial"/>
                <w:kern w:val="0"/>
                <w:szCs w:val="21"/>
              </w:rPr>
              <w:t>3、须与我院现有Brocade系列交换机无缝对接，无兼容性问题</w:t>
            </w:r>
          </w:p>
        </w:tc>
      </w:tr>
      <w:tr w14:paraId="5BA292F8">
        <w:tblPrEx>
          <w:tblCellMar>
            <w:top w:w="0" w:type="dxa"/>
            <w:left w:w="108" w:type="dxa"/>
            <w:bottom w:w="0" w:type="dxa"/>
            <w:right w:w="108" w:type="dxa"/>
          </w:tblCellMar>
        </w:tblPrEx>
        <w:trPr>
          <w:trHeight w:val="599"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4EC9EF13">
            <w:pPr>
              <w:widowControl/>
              <w:spacing w:before="60" w:line="276" w:lineRule="auto"/>
              <w:ind w:firstLine="470" w:firstLineChars="196"/>
              <w:jc w:val="left"/>
              <w:rPr>
                <w:rFonts w:ascii="Arial" w:hAnsi="Arial"/>
                <w:kern w:val="0"/>
                <w:szCs w:val="21"/>
              </w:rPr>
            </w:pPr>
            <w:r>
              <w:rPr>
                <w:rFonts w:hint="eastAsia" w:ascii="Arial" w:hAnsi="Arial"/>
                <w:kern w:val="0"/>
                <w:szCs w:val="21"/>
              </w:rPr>
              <w:t>管理要求</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570416A8">
            <w:pPr>
              <w:widowControl/>
              <w:spacing w:before="60" w:line="276" w:lineRule="auto"/>
              <w:ind w:firstLine="470" w:firstLineChars="196"/>
              <w:jc w:val="left"/>
              <w:rPr>
                <w:rFonts w:ascii="Arial" w:hAnsi="Arial"/>
                <w:kern w:val="0"/>
                <w:szCs w:val="21"/>
              </w:rPr>
            </w:pPr>
            <w:r>
              <w:rPr>
                <w:rFonts w:hint="eastAsia" w:ascii="Arial" w:hAnsi="Arial"/>
                <w:kern w:val="0"/>
                <w:szCs w:val="21"/>
              </w:rPr>
              <w:t>支持SNMPv3、GUI界面，支持SSH安全访问管理、全图形化运维管理操作</w:t>
            </w:r>
          </w:p>
        </w:tc>
      </w:tr>
      <w:tr w14:paraId="04CC7C0A">
        <w:tblPrEx>
          <w:tblCellMar>
            <w:top w:w="0" w:type="dxa"/>
            <w:left w:w="108" w:type="dxa"/>
            <w:bottom w:w="0" w:type="dxa"/>
            <w:right w:w="108" w:type="dxa"/>
          </w:tblCellMar>
        </w:tblPrEx>
        <w:trPr>
          <w:trHeight w:val="314"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4C73BD21">
            <w:pPr>
              <w:widowControl/>
              <w:spacing w:before="60" w:line="276" w:lineRule="auto"/>
              <w:ind w:firstLine="470" w:firstLineChars="196"/>
              <w:jc w:val="left"/>
              <w:rPr>
                <w:rFonts w:ascii="Arial" w:hAnsi="Arial"/>
                <w:kern w:val="0"/>
                <w:szCs w:val="21"/>
              </w:rPr>
            </w:pPr>
            <w:r>
              <w:rPr>
                <w:rFonts w:hint="eastAsia" w:ascii="Arial" w:hAnsi="Arial"/>
                <w:kern w:val="0"/>
                <w:szCs w:val="21"/>
              </w:rPr>
              <w:t>高级功能</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659F7F4D">
            <w:pPr>
              <w:widowControl/>
              <w:spacing w:before="60" w:line="276" w:lineRule="auto"/>
              <w:ind w:firstLine="470" w:firstLineChars="196"/>
              <w:jc w:val="left"/>
              <w:rPr>
                <w:rFonts w:ascii="Arial" w:hAnsi="Arial"/>
                <w:kern w:val="0"/>
                <w:szCs w:val="21"/>
              </w:rPr>
            </w:pPr>
            <w:r>
              <w:rPr>
                <w:rFonts w:hint="eastAsia" w:ascii="Arial" w:hAnsi="Arial"/>
                <w:kern w:val="0"/>
                <w:szCs w:val="21"/>
              </w:rPr>
              <w:t>提供基于硬件的FC压缩和256位加密功能</w:t>
            </w:r>
          </w:p>
        </w:tc>
      </w:tr>
      <w:tr w14:paraId="115905DA">
        <w:tblPrEx>
          <w:tblCellMar>
            <w:top w:w="0" w:type="dxa"/>
            <w:left w:w="108" w:type="dxa"/>
            <w:bottom w:w="0" w:type="dxa"/>
            <w:right w:w="108" w:type="dxa"/>
          </w:tblCellMar>
        </w:tblPrEx>
        <w:trPr>
          <w:trHeight w:val="284"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10439CC1">
            <w:pPr>
              <w:widowControl/>
              <w:spacing w:before="60" w:line="276" w:lineRule="auto"/>
              <w:ind w:firstLine="470" w:firstLineChars="196"/>
              <w:jc w:val="left"/>
              <w:rPr>
                <w:rFonts w:ascii="Arial" w:hAnsi="Arial"/>
                <w:kern w:val="0"/>
                <w:szCs w:val="21"/>
              </w:rPr>
            </w:pPr>
            <w:r>
              <w:rPr>
                <w:rFonts w:hint="eastAsia" w:ascii="Arial" w:hAnsi="Arial"/>
                <w:kern w:val="0"/>
                <w:szCs w:val="21"/>
              </w:rPr>
              <w:t>冗余要求</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6EC0F9AF">
            <w:pPr>
              <w:widowControl/>
              <w:spacing w:before="60" w:line="276" w:lineRule="auto"/>
              <w:ind w:firstLine="470" w:firstLineChars="196"/>
              <w:jc w:val="left"/>
              <w:rPr>
                <w:rFonts w:ascii="Arial" w:hAnsi="Arial"/>
                <w:kern w:val="0"/>
                <w:szCs w:val="21"/>
              </w:rPr>
            </w:pPr>
            <w:r>
              <w:rPr>
                <w:rFonts w:hint="eastAsia" w:ascii="Arial" w:hAnsi="Arial"/>
                <w:kern w:val="0"/>
                <w:szCs w:val="21"/>
              </w:rPr>
              <w:t>要求配置冗余电源和风扇</w:t>
            </w:r>
          </w:p>
        </w:tc>
      </w:tr>
      <w:tr w14:paraId="0F29748C">
        <w:tblPrEx>
          <w:tblCellMar>
            <w:top w:w="0" w:type="dxa"/>
            <w:left w:w="108" w:type="dxa"/>
            <w:bottom w:w="0" w:type="dxa"/>
            <w:right w:w="108" w:type="dxa"/>
          </w:tblCellMar>
        </w:tblPrEx>
        <w:trPr>
          <w:trHeight w:val="314" w:hRule="atLeast"/>
          <w:jc w:val="center"/>
        </w:trPr>
        <w:tc>
          <w:tcPr>
            <w:tcW w:w="2384" w:type="dxa"/>
            <w:tcBorders>
              <w:top w:val="single" w:color="auto" w:sz="8" w:space="0"/>
              <w:left w:val="single" w:color="auto" w:sz="8" w:space="0"/>
              <w:bottom w:val="single" w:color="auto" w:sz="8" w:space="0"/>
              <w:right w:val="single" w:color="auto" w:sz="8" w:space="0"/>
              <w:tl2br w:val="nil"/>
              <w:tr2bl w:val="nil"/>
            </w:tcBorders>
            <w:noWrap/>
            <w:vAlign w:val="center"/>
          </w:tcPr>
          <w:p w14:paraId="0F559176">
            <w:pPr>
              <w:widowControl/>
              <w:spacing w:before="60" w:line="276" w:lineRule="auto"/>
              <w:ind w:firstLine="470" w:firstLineChars="196"/>
              <w:jc w:val="left"/>
              <w:rPr>
                <w:rFonts w:ascii="Arial" w:hAnsi="Arial"/>
                <w:kern w:val="0"/>
                <w:szCs w:val="21"/>
              </w:rPr>
            </w:pPr>
            <w:r>
              <w:rPr>
                <w:rFonts w:hint="eastAsia" w:ascii="Arial" w:hAnsi="Arial"/>
                <w:kern w:val="0"/>
                <w:szCs w:val="21"/>
              </w:rPr>
              <w:t>服务</w:t>
            </w:r>
          </w:p>
        </w:tc>
        <w:tc>
          <w:tcPr>
            <w:tcW w:w="7817" w:type="dxa"/>
            <w:tcBorders>
              <w:top w:val="single" w:color="auto" w:sz="8" w:space="0"/>
              <w:left w:val="single" w:color="auto" w:sz="8" w:space="0"/>
              <w:bottom w:val="single" w:color="auto" w:sz="8" w:space="0"/>
              <w:right w:val="single" w:color="auto" w:sz="8" w:space="0"/>
              <w:tl2br w:val="nil"/>
              <w:tr2bl w:val="nil"/>
            </w:tcBorders>
            <w:noWrap/>
            <w:vAlign w:val="center"/>
          </w:tcPr>
          <w:p w14:paraId="64E5E27A">
            <w:pPr>
              <w:widowControl/>
              <w:spacing w:before="60" w:line="276" w:lineRule="auto"/>
              <w:ind w:firstLine="470" w:firstLineChars="196"/>
              <w:jc w:val="left"/>
              <w:rPr>
                <w:rFonts w:ascii="Arial" w:hAnsi="Arial"/>
                <w:kern w:val="0"/>
                <w:szCs w:val="21"/>
              </w:rPr>
            </w:pPr>
            <w:r>
              <w:rPr>
                <w:rFonts w:hint="eastAsia" w:ascii="Arial" w:hAnsi="Arial"/>
                <w:kern w:val="0"/>
                <w:szCs w:val="21"/>
              </w:rPr>
              <w:t>制造商原厂5年7*24*4小时服务、制造商原厂初次安装服务</w:t>
            </w:r>
          </w:p>
        </w:tc>
      </w:tr>
    </w:tbl>
    <w:p w14:paraId="49FECED6">
      <w:pPr>
        <w:spacing w:line="360" w:lineRule="auto"/>
        <w:rPr>
          <w:sz w:val="21"/>
          <w:szCs w:val="21"/>
        </w:rPr>
      </w:pPr>
      <w:r>
        <w:rPr>
          <w:rFonts w:hint="eastAsia"/>
          <w:sz w:val="21"/>
          <w:szCs w:val="21"/>
        </w:rPr>
        <w:t>1、对医院目前使用的双活存储上的业务系统及数据进行迁移，迁移过程需保证数据的完整性，安全性。</w:t>
      </w:r>
    </w:p>
    <w:p w14:paraId="2674DE95">
      <w:pPr>
        <w:spacing w:line="360" w:lineRule="auto"/>
        <w:rPr>
          <w:sz w:val="21"/>
          <w:szCs w:val="21"/>
        </w:rPr>
      </w:pPr>
      <w:r>
        <w:rPr>
          <w:sz w:val="21"/>
          <w:szCs w:val="21"/>
        </w:rPr>
        <w:t>2、数据迁移中如有涉及患者数据时，必须确保数据安全和患者隐私保护，不得以任何方式获取医院和患者数据。禁止任何形式对医院数据进行拷贝、编译、复制等手段将数据挪作他用。（提供承诺函）。</w:t>
      </w:r>
    </w:p>
    <w:p w14:paraId="6FC7D37C">
      <w:pPr>
        <w:spacing w:line="360" w:lineRule="auto"/>
        <w:rPr>
          <w:sz w:val="21"/>
          <w:szCs w:val="21"/>
        </w:rPr>
      </w:pPr>
      <w:r>
        <w:rPr>
          <w:sz w:val="21"/>
          <w:szCs w:val="21"/>
        </w:rPr>
        <w:t>3、项目验收后提供维护期内7天*24小时30分钟内远程问题处理。</w:t>
      </w:r>
    </w:p>
    <w:p w14:paraId="67D64A04">
      <w:pPr>
        <w:spacing w:line="360" w:lineRule="auto"/>
        <w:rPr>
          <w:sz w:val="21"/>
          <w:szCs w:val="21"/>
        </w:rPr>
      </w:pPr>
      <w:r>
        <w:rPr>
          <w:sz w:val="21"/>
          <w:szCs w:val="21"/>
        </w:rPr>
        <w:t>4、维护期内提供每季度数据库巡检服务，提供巡检报表，提出需要进一步优化的建议，并协助进行优化。</w:t>
      </w:r>
    </w:p>
    <w:p w14:paraId="28824153">
      <w:pPr>
        <w:spacing w:line="360" w:lineRule="auto"/>
        <w:rPr>
          <w:sz w:val="21"/>
          <w:szCs w:val="21"/>
        </w:rPr>
      </w:pPr>
      <w:r>
        <w:rPr>
          <w:sz w:val="21"/>
          <w:szCs w:val="21"/>
        </w:rPr>
        <w:t>5、如果涉及到HIS系统停机，则HIS系统停机时间控制在15分钟以内。(提供可证明时间的操作证明文件或技术方案)</w:t>
      </w:r>
    </w:p>
    <w:p w14:paraId="6600D319">
      <w:pPr>
        <w:spacing w:line="360" w:lineRule="auto"/>
        <w:rPr>
          <w:sz w:val="21"/>
          <w:szCs w:val="21"/>
        </w:rPr>
      </w:pPr>
      <w:r>
        <w:rPr>
          <w:sz w:val="21"/>
          <w:szCs w:val="21"/>
        </w:rPr>
        <w:t>6、确保新环境下HIS系统的稳定运行，不能出现性能问题，保证及时解决因迁移出现的问题。(提供应急处理方案)</w:t>
      </w:r>
    </w:p>
    <w:p w14:paraId="410F10F0">
      <w:pPr>
        <w:spacing w:line="360" w:lineRule="auto"/>
        <w:rPr>
          <w:sz w:val="21"/>
          <w:szCs w:val="21"/>
        </w:rPr>
      </w:pPr>
      <w:r>
        <w:rPr>
          <w:sz w:val="21"/>
          <w:szCs w:val="21"/>
        </w:rPr>
        <w:t>7、障数据绝对安全，保护病人隐私。（提供承诺函）</w:t>
      </w:r>
    </w:p>
    <w:p w14:paraId="5B4FEACF">
      <w:pPr>
        <w:spacing w:line="360" w:lineRule="auto"/>
        <w:rPr>
          <w:sz w:val="21"/>
          <w:szCs w:val="21"/>
        </w:rPr>
      </w:pPr>
      <w:r>
        <w:rPr>
          <w:sz w:val="21"/>
          <w:szCs w:val="21"/>
        </w:rPr>
        <w:t>8、为保证所有计算资源用于业务系统数据库运算资源，本次数据迁移服务除操作系统、数据库及必要的杀毒软件外，杜绝安装其他消耗资源的软件。（提供承诺函）。</w:t>
      </w:r>
    </w:p>
    <w:p w14:paraId="116CC2C3">
      <w:pPr>
        <w:spacing w:line="360" w:lineRule="auto"/>
        <w:rPr>
          <w:sz w:val="21"/>
          <w:szCs w:val="21"/>
        </w:rPr>
      </w:pPr>
      <w:r>
        <w:rPr>
          <w:sz w:val="21"/>
          <w:szCs w:val="21"/>
        </w:rPr>
        <w:t>9、项目结束后提供规范的安装配置文档，包括数据库安装路径，存储配置，初始化参数等内容。</w:t>
      </w:r>
    </w:p>
    <w:p w14:paraId="17CF0BAA">
      <w:pPr>
        <w:spacing w:line="360" w:lineRule="auto"/>
        <w:rPr>
          <w:sz w:val="21"/>
          <w:szCs w:val="21"/>
        </w:rPr>
      </w:pPr>
      <w:r>
        <w:rPr>
          <w:sz w:val="21"/>
          <w:szCs w:val="21"/>
        </w:rPr>
        <w:t>10、保证此次数据迁移工作不影响对接在HIS系统库数据提取的三方系统（包含但不限于：VTE系统、运行数据中心系统、临床数据中心系统、</w:t>
      </w:r>
      <w:r>
        <w:rPr>
          <w:rFonts w:hint="eastAsia"/>
          <w:sz w:val="21"/>
          <w:szCs w:val="21"/>
        </w:rPr>
        <w:t>医疗数据总线</w:t>
      </w:r>
      <w:r>
        <w:rPr>
          <w:sz w:val="21"/>
          <w:szCs w:val="21"/>
        </w:rPr>
        <w:t>、运营管理BI系统、部分生产系统报表提取服务）前端应用。（提供承诺函）</w:t>
      </w:r>
    </w:p>
    <w:p w14:paraId="641F768B">
      <w:pPr>
        <w:spacing w:line="360" w:lineRule="auto"/>
        <w:rPr>
          <w:sz w:val="21"/>
          <w:szCs w:val="21"/>
        </w:rPr>
      </w:pPr>
      <w:r>
        <w:rPr>
          <w:sz w:val="21"/>
          <w:szCs w:val="21"/>
        </w:rPr>
        <w:t>11、负责协调本次备份数据迁移涉及到的三方软件系统公司以及其他与本次迁移相关联的信息系统公司提供现场支持，相关费用由承建人承担（包含但不限于：</w:t>
      </w:r>
      <w:r>
        <w:rPr>
          <w:rFonts w:hint="eastAsia"/>
          <w:sz w:val="21"/>
          <w:szCs w:val="21"/>
        </w:rPr>
        <w:t>HIS系统、LIS系统、PACS系统、电子病历系统、数据平台系统等</w:t>
      </w:r>
      <w:r>
        <w:rPr>
          <w:sz w:val="21"/>
          <w:szCs w:val="21"/>
        </w:rPr>
        <w:t>）。（提供承诺函）</w:t>
      </w:r>
    </w:p>
    <w:p w14:paraId="0BE5F791">
      <w:pPr>
        <w:spacing w:line="360" w:lineRule="auto"/>
        <w:rPr>
          <w:sz w:val="21"/>
          <w:szCs w:val="21"/>
        </w:rPr>
      </w:pPr>
      <w:r>
        <w:rPr>
          <w:sz w:val="21"/>
          <w:szCs w:val="21"/>
        </w:rPr>
        <w:t>12、安装符合各业务系统运行的操作系统、数据库。</w:t>
      </w:r>
    </w:p>
    <w:p w14:paraId="2AA5EB05">
      <w:pPr>
        <w:spacing w:line="360" w:lineRule="auto"/>
        <w:rPr>
          <w:sz w:val="21"/>
          <w:szCs w:val="21"/>
        </w:rPr>
      </w:pPr>
      <w:r>
        <w:rPr>
          <w:sz w:val="21"/>
          <w:szCs w:val="21"/>
        </w:rPr>
        <w:t>1</w:t>
      </w:r>
      <w:r>
        <w:rPr>
          <w:rFonts w:hint="eastAsia"/>
          <w:sz w:val="21"/>
          <w:szCs w:val="21"/>
        </w:rPr>
        <w:t>3</w:t>
      </w:r>
      <w:r>
        <w:rPr>
          <w:sz w:val="21"/>
          <w:szCs w:val="21"/>
        </w:rPr>
        <w:t>、此次数据迁移工作不影响三方对接服务应用，需保证IP、SAN网络地址与原系统一致，确保所有三方系统数据迁移支撑设备、客户端登陆不受影响。（提供承诺函）</w:t>
      </w:r>
    </w:p>
    <w:p w14:paraId="2DA02755">
      <w:pPr>
        <w:spacing w:line="360" w:lineRule="auto"/>
        <w:rPr>
          <w:sz w:val="21"/>
          <w:szCs w:val="21"/>
        </w:rPr>
      </w:pPr>
      <w:r>
        <w:rPr>
          <w:sz w:val="21"/>
          <w:szCs w:val="21"/>
        </w:rPr>
        <w:t>1</w:t>
      </w:r>
      <w:r>
        <w:rPr>
          <w:rFonts w:hint="eastAsia"/>
          <w:sz w:val="21"/>
          <w:szCs w:val="21"/>
        </w:rPr>
        <w:t>4</w:t>
      </w:r>
      <w:r>
        <w:rPr>
          <w:sz w:val="21"/>
          <w:szCs w:val="21"/>
        </w:rPr>
        <w:t>、数据迁移备份系统对接服务，确保数据迁移完成后，医院现有的备份系统能正常同步生产系统数据，需要进行备份数据与生产数据一致性验证。</w:t>
      </w:r>
    </w:p>
    <w:p w14:paraId="6A8678BF">
      <w:pPr>
        <w:spacing w:line="360" w:lineRule="auto"/>
        <w:rPr>
          <w:sz w:val="21"/>
          <w:szCs w:val="21"/>
        </w:rPr>
      </w:pPr>
      <w:r>
        <w:rPr>
          <w:sz w:val="21"/>
          <w:szCs w:val="21"/>
        </w:rPr>
        <w:t>1</w:t>
      </w:r>
      <w:r>
        <w:rPr>
          <w:rFonts w:hint="eastAsia"/>
          <w:sz w:val="21"/>
          <w:szCs w:val="21"/>
        </w:rPr>
        <w:t>5</w:t>
      </w:r>
      <w:r>
        <w:rPr>
          <w:sz w:val="21"/>
          <w:szCs w:val="21"/>
        </w:rPr>
        <w:t>、系统数据迁移完成后，协助清理系统中因前期维护产生的临时数据、视图等数据。（提供操作方案）</w:t>
      </w:r>
    </w:p>
    <w:p w14:paraId="31BD024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1MWQ0NjBmODcxN2NjNTEzOWRkMWU5ZDZjNDc1ZDQifQ=="/>
  </w:docVars>
  <w:rsids>
    <w:rsidRoot w:val="538052AB"/>
    <w:rsid w:val="02223910"/>
    <w:rsid w:val="068C6D6B"/>
    <w:rsid w:val="0F7F3B56"/>
    <w:rsid w:val="185E7379"/>
    <w:rsid w:val="39C169FB"/>
    <w:rsid w:val="538052AB"/>
    <w:rsid w:val="5B5F1001"/>
    <w:rsid w:val="6712276E"/>
    <w:rsid w:val="698606AC"/>
    <w:rsid w:val="6E3C5A9B"/>
    <w:rsid w:val="71467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2">
    <w:name w:val="heading 4"/>
    <w:basedOn w:val="1"/>
    <w:next w:val="1"/>
    <w:unhideWhenUsed/>
    <w:qFormat/>
    <w:uiPriority w:val="0"/>
    <w:pPr>
      <w:keepNext/>
      <w:keepLines/>
      <w:spacing w:before="80" w:after="40"/>
      <w:outlineLvl w:val="3"/>
    </w:pPr>
    <w:rPr>
      <w:rFonts w:asciiTheme="minorHAnsi" w:hAnsiTheme="minorHAnsi" w:eastAsiaTheme="minorEastAsia" w:cstheme="majorBidi"/>
      <w:color w:val="2E54A1" w:themeColor="accent1" w:themeShade="BF"/>
      <w:sz w:val="28"/>
      <w:szCs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3"/>
    <w:basedOn w:val="1"/>
    <w:qFormat/>
    <w:uiPriority w:val="0"/>
    <w:pPr>
      <w:widowControl/>
      <w:spacing w:line="500" w:lineRule="exact"/>
      <w:jc w:val="left"/>
    </w:pPr>
    <w:rPr>
      <w:b/>
      <w:bCs/>
      <w:kern w:val="0"/>
      <w:sz w:val="24"/>
    </w:rPr>
  </w:style>
  <w:style w:type="paragraph" w:styleId="4">
    <w:name w:val="Body Text"/>
    <w:basedOn w:val="1"/>
    <w:next w:val="1"/>
    <w:qFormat/>
    <w:uiPriority w:val="0"/>
    <w:pPr>
      <w:spacing w:after="120"/>
    </w:pPr>
  </w:style>
  <w:style w:type="paragraph" w:styleId="5">
    <w:name w:val="Body Text Indent"/>
    <w:basedOn w:val="1"/>
    <w:qFormat/>
    <w:uiPriority w:val="0"/>
    <w:pPr>
      <w:ind w:firstLine="555"/>
    </w:pPr>
    <w:rPr>
      <w:lang w:val="zh-CN"/>
    </w:rPr>
  </w:style>
  <w:style w:type="paragraph" w:styleId="6">
    <w:name w:val="Title"/>
    <w:basedOn w:val="1"/>
    <w:next w:val="1"/>
    <w:qFormat/>
    <w:uiPriority w:val="10"/>
    <w:pPr>
      <w:spacing w:before="60" w:after="60"/>
      <w:jc w:val="left"/>
      <w:outlineLvl w:val="2"/>
    </w:pPr>
    <w:rPr>
      <w:rFonts w:asciiTheme="majorHAnsi" w:hAnsiTheme="majorHAnsi" w:eastAsiaTheme="majorEastAsia" w:cstheme="majorBidi"/>
      <w:b/>
      <w:bCs/>
      <w:sz w:val="28"/>
      <w:szCs w:val="32"/>
    </w:rPr>
  </w:style>
  <w:style w:type="paragraph" w:styleId="7">
    <w:name w:val="Body Text First Indent 2"/>
    <w:basedOn w:val="5"/>
    <w:unhideWhenUsed/>
    <w:qFormat/>
    <w:uiPriority w:val="99"/>
    <w:pPr>
      <w:ind w:firstLine="420" w:firstLineChars="200"/>
    </w:pPr>
  </w:style>
  <w:style w:type="paragraph" w:styleId="10">
    <w:name w:val="List Paragraph"/>
    <w:basedOn w:val="1"/>
    <w:qFormat/>
    <w:uiPriority w:val="34"/>
    <w:pPr>
      <w:widowControl/>
      <w:spacing w:after="160" w:line="259" w:lineRule="auto"/>
      <w:ind w:firstLine="420" w:firstLineChars="200"/>
      <w:jc w:val="left"/>
    </w:pPr>
    <w:rPr>
      <w:rFonts w:ascii="Calibri" w:hAnsi="Calibri"/>
      <w:kern w:val="0"/>
      <w:sz w:val="22"/>
      <w:szCs w:val="22"/>
    </w:rPr>
  </w:style>
  <w:style w:type="paragraph" w:customStyle="1" w:styleId="11">
    <w:name w:val="null3"/>
    <w:hidden/>
    <w:qFormat/>
    <w:uiPriority w:val="0"/>
    <w:rPr>
      <w:rFonts w:hint="eastAsia" w:asciiTheme="minorHAnsi" w:hAnsiTheme="minorHAnsi" w:eastAsiaTheme="minorEastAsia" w:cstheme="minorBidi"/>
      <w:kern w:val="0"/>
      <w:sz w:val="20"/>
      <w:szCs w:val="20"/>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2330</Words>
  <Characters>2620</Characters>
  <Lines>0</Lines>
  <Paragraphs>0</Paragraphs>
  <TotalTime>0</TotalTime>
  <ScaleCrop>false</ScaleCrop>
  <LinksUpToDate>false</LinksUpToDate>
  <CharactersWithSpaces>2641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2024-03-01T03:21:00Z</dcterms:created>
  <dc:creator>明眸°　Sun</dc:creator>
  <cp:lastModifiedBy>随波逐流</cp:lastModifiedBy>
  <dcterms:modified xsi:type="dcterms:W3CDTF">2024-08-07T08:59:38Z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A8718CB82E8A4F8CB4A88344EE2DDABE_13</vt:lpwstr>
  </property>
</Properties>
</file>