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分值付费下基于临床实际的病组费用精细化管理系统市场调研公告”市场调研文件，决定参加贵单位组织的市场调研。我方授权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A42D6"/>
    <w:rsid w:val="0282212F"/>
    <w:rsid w:val="0F995C2B"/>
    <w:rsid w:val="1EB55E98"/>
    <w:rsid w:val="211154EA"/>
    <w:rsid w:val="2248143D"/>
    <w:rsid w:val="234678BE"/>
    <w:rsid w:val="24EF45C5"/>
    <w:rsid w:val="2AC567F4"/>
    <w:rsid w:val="33A23E18"/>
    <w:rsid w:val="36B50D6A"/>
    <w:rsid w:val="37521DDF"/>
    <w:rsid w:val="384B3700"/>
    <w:rsid w:val="38AA13EA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606B0ED8"/>
    <w:rsid w:val="61AC67DD"/>
    <w:rsid w:val="6591589D"/>
    <w:rsid w:val="68CD5EB7"/>
    <w:rsid w:val="69C954B2"/>
    <w:rsid w:val="7944715A"/>
    <w:rsid w:val="7B48671D"/>
    <w:rsid w:val="7C492894"/>
    <w:rsid w:val="7CB71D94"/>
    <w:rsid w:val="7CBB77EF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2021-03-29T00:28:52Z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70DD92D5F4B64173AB28331E098CE337</vt:lpwstr>
  </property>
</Properties>
</file>