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仿宋_GB2312"/>
          <w:b/>
          <w:bCs/>
          <w:sz w:val="44"/>
          <w:szCs w:val="44"/>
        </w:rPr>
      </w:pPr>
      <w:r>
        <w:rPr>
          <w:rFonts w:hint="eastAsia" w:ascii="宋体" w:hAnsi="宋体" w:cs="仿宋_GB2312"/>
          <w:b/>
          <w:bCs/>
          <w:sz w:val="44"/>
          <w:szCs w:val="44"/>
        </w:rPr>
        <w:t>采购项目技术要求</w:t>
      </w:r>
    </w:p>
    <w:tbl>
      <w:tblPr>
        <w:tblStyle w:val="9"/>
        <w:tblW w:w="9980"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6"/>
        <w:gridCol w:w="7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67" w:hRule="atLeast"/>
        </w:trPr>
        <w:tc>
          <w:tcPr>
            <w:tcW w:w="2656" w:type="dxa"/>
            <w:vAlign w:val="center"/>
          </w:tcPr>
          <w:p>
            <w:pPr>
              <w:jc w:val="center"/>
              <w:rPr>
                <w:rFonts w:ascii="宋体" w:hAnsi="宋体" w:cs="仿宋_GB2312"/>
                <w:b/>
                <w:bCs/>
                <w:sz w:val="24"/>
              </w:rPr>
            </w:pPr>
            <w:r>
              <w:rPr>
                <w:rFonts w:hint="eastAsia" w:ascii="宋体" w:hAnsi="宋体" w:cs="仿宋_GB2312"/>
                <w:b/>
                <w:bCs/>
                <w:sz w:val="24"/>
              </w:rPr>
              <w:t>项目名称</w:t>
            </w:r>
          </w:p>
        </w:tc>
        <w:tc>
          <w:tcPr>
            <w:tcW w:w="7324" w:type="dxa"/>
            <w:vAlign w:val="center"/>
          </w:tcPr>
          <w:p>
            <w:pPr>
              <w:rPr>
                <w:rFonts w:ascii="宋体" w:hAnsi="宋体" w:cs="仿宋_GB2312"/>
                <w:bCs/>
                <w:sz w:val="24"/>
              </w:rPr>
            </w:pPr>
            <w:r>
              <w:rPr>
                <w:rFonts w:hint="eastAsia"/>
                <w:sz w:val="28"/>
                <w:szCs w:val="18"/>
              </w:rPr>
              <w:t>儿童健康管理平台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74" w:hRule="atLeast"/>
        </w:trPr>
        <w:tc>
          <w:tcPr>
            <w:tcW w:w="2656" w:type="dxa"/>
            <w:vAlign w:val="center"/>
          </w:tcPr>
          <w:p>
            <w:pPr>
              <w:jc w:val="center"/>
              <w:rPr>
                <w:rFonts w:ascii="宋体" w:hAnsi="宋体" w:cs="仿宋_GB2312"/>
                <w:b/>
                <w:bCs/>
                <w:sz w:val="24"/>
              </w:rPr>
            </w:pPr>
            <w:r>
              <w:rPr>
                <w:rFonts w:hint="eastAsia" w:ascii="宋体" w:hAnsi="宋体" w:cs="仿宋_GB2312"/>
                <w:b/>
                <w:bCs/>
                <w:sz w:val="24"/>
              </w:rPr>
              <w:t>项目申请科室</w:t>
            </w:r>
          </w:p>
        </w:tc>
        <w:tc>
          <w:tcPr>
            <w:tcW w:w="7324" w:type="dxa"/>
            <w:vAlign w:val="center"/>
          </w:tcPr>
          <w:p>
            <w:pPr>
              <w:rPr>
                <w:rFonts w:ascii="宋体" w:hAnsi="宋体" w:cs="仿宋_GB2312"/>
                <w:bCs/>
                <w:sz w:val="24"/>
              </w:rPr>
            </w:pPr>
            <w:r>
              <w:rPr>
                <w:rFonts w:hint="eastAsia" w:ascii="宋体" w:hAnsi="宋体" w:cs="仿宋_GB2312"/>
                <w:bCs/>
                <w:sz w:val="24"/>
              </w:rPr>
              <w:t>儿科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75" w:hRule="atLeast"/>
        </w:trPr>
        <w:tc>
          <w:tcPr>
            <w:tcW w:w="2656" w:type="dxa"/>
            <w:vAlign w:val="center"/>
          </w:tcPr>
          <w:p>
            <w:pPr>
              <w:jc w:val="center"/>
              <w:rPr>
                <w:rFonts w:ascii="宋体" w:hAnsi="宋体" w:cs="仿宋_GB2312"/>
                <w:b/>
                <w:bCs/>
                <w:sz w:val="24"/>
              </w:rPr>
            </w:pPr>
            <w:r>
              <w:rPr>
                <w:rFonts w:hint="eastAsia" w:ascii="宋体" w:hAnsi="宋体" w:cs="仿宋_GB2312"/>
                <w:b/>
                <w:bCs/>
                <w:sz w:val="24"/>
              </w:rPr>
              <w:t>项目申请理由</w:t>
            </w:r>
          </w:p>
        </w:tc>
        <w:tc>
          <w:tcPr>
            <w:tcW w:w="7324" w:type="dxa"/>
          </w:tcPr>
          <w:p>
            <w:pPr>
              <w:rPr>
                <w:rFonts w:hint="eastAsia" w:ascii="宋体" w:hAnsi="宋体" w:cs="仿宋_GB2312"/>
                <w:bCs/>
                <w:sz w:val="24"/>
              </w:rPr>
            </w:pPr>
            <w:r>
              <w:rPr>
                <w:rFonts w:hint="eastAsia" w:ascii="宋体" w:hAnsi="宋体" w:cs="仿宋_GB2312"/>
                <w:bCs/>
                <w:sz w:val="24"/>
              </w:rPr>
              <w:t>儿保科成立需要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3" w:hRule="atLeast"/>
        </w:trPr>
        <w:tc>
          <w:tcPr>
            <w:tcW w:w="9980" w:type="dxa"/>
            <w:gridSpan w:val="2"/>
          </w:tcPr>
          <w:p>
            <w:pPr>
              <w:widowControl/>
              <w:rPr>
                <w:rFonts w:ascii="宋体" w:hAnsi="宋体"/>
                <w:color w:val="000000"/>
                <w:sz w:val="24"/>
              </w:rPr>
            </w:pPr>
            <w:r>
              <w:rPr>
                <w:rFonts w:hint="eastAsia" w:ascii="黑体" w:hAnsi="黑体" w:eastAsia="黑体"/>
                <w:color w:val="000000"/>
                <w:sz w:val="24"/>
              </w:rPr>
              <w:t>采购产品技术标准要求</w:t>
            </w:r>
            <w:r>
              <w:rPr>
                <w:rFonts w:hint="eastAsia" w:ascii="宋体" w:hAnsi="宋体"/>
                <w:color w:val="000000"/>
                <w:sz w:val="24"/>
              </w:rPr>
              <w:t>：</w:t>
            </w:r>
          </w:p>
          <w:p>
            <w:pPr>
              <w:numPr>
                <w:ilvl w:val="0"/>
                <w:numId w:val="1"/>
              </w:numPr>
              <w:rPr>
                <w:b/>
                <w:bCs/>
                <w:sz w:val="24"/>
              </w:rPr>
            </w:pPr>
            <w:r>
              <w:rPr>
                <w:rFonts w:hint="eastAsia"/>
                <w:b/>
                <w:bCs/>
                <w:sz w:val="24"/>
              </w:rPr>
              <w:t>软件架构</w:t>
            </w:r>
          </w:p>
          <w:p>
            <w:pPr>
              <w:ind w:firstLine="420"/>
              <w:rPr>
                <w:szCs w:val="21"/>
              </w:rPr>
            </w:pPr>
            <w:r>
              <w:rPr>
                <w:rFonts w:hint="eastAsia"/>
                <w:szCs w:val="21"/>
              </w:rPr>
              <w:t>1. 采用B/S结构</w:t>
            </w:r>
          </w:p>
          <w:p>
            <w:pPr>
              <w:ind w:firstLine="420"/>
              <w:rPr>
                <w:szCs w:val="21"/>
              </w:rPr>
            </w:pPr>
            <w:r>
              <w:rPr>
                <w:rFonts w:hint="eastAsia"/>
                <w:szCs w:val="21"/>
              </w:rPr>
              <w:t>2. 服务器端支持跨平台，windows与Linux系统均能部署。</w:t>
            </w:r>
          </w:p>
          <w:p>
            <w:pPr>
              <w:ind w:firstLine="420"/>
              <w:rPr>
                <w:szCs w:val="21"/>
              </w:rPr>
            </w:pPr>
            <w:r>
              <w:rPr>
                <w:rFonts w:hint="eastAsia"/>
                <w:szCs w:val="21"/>
              </w:rPr>
              <w:t>3. 不限制客户端访问数。</w:t>
            </w:r>
          </w:p>
          <w:p>
            <w:pPr>
              <w:ind w:firstLine="420"/>
              <w:rPr>
                <w:szCs w:val="21"/>
              </w:rPr>
            </w:pPr>
            <w:r>
              <w:rPr>
                <w:rFonts w:hint="eastAsia"/>
                <w:szCs w:val="21"/>
              </w:rPr>
              <w:t>4. 软件支持并发数访问 数≥100。</w:t>
            </w:r>
          </w:p>
          <w:p>
            <w:pPr>
              <w:ind w:firstLine="420"/>
              <w:rPr>
                <w:szCs w:val="21"/>
              </w:rPr>
            </w:pPr>
            <w:r>
              <w:rPr>
                <w:rFonts w:hint="eastAsia"/>
                <w:szCs w:val="21"/>
              </w:rPr>
              <w:t>5. 采用J2EE架构，保证系统的安全性和跨平台性。</w:t>
            </w:r>
          </w:p>
          <w:p>
            <w:pPr>
              <w:ind w:firstLine="420"/>
              <w:rPr>
                <w:szCs w:val="21"/>
              </w:rPr>
            </w:pPr>
            <w:r>
              <w:rPr>
                <w:rFonts w:hint="eastAsia"/>
                <w:szCs w:val="21"/>
              </w:rPr>
              <w:t>6. 可以提供数据接口。</w:t>
            </w:r>
          </w:p>
          <w:p>
            <w:pPr>
              <w:rPr>
                <w:b/>
                <w:bCs/>
                <w:sz w:val="24"/>
              </w:rPr>
            </w:pPr>
            <w:r>
              <w:rPr>
                <w:rFonts w:hint="eastAsia"/>
                <w:b/>
                <w:bCs/>
                <w:sz w:val="24"/>
              </w:rPr>
              <w:t>二、功能要求</w:t>
            </w:r>
          </w:p>
          <w:p>
            <w:pPr>
              <w:pStyle w:val="18"/>
              <w:ind w:firstLineChars="0"/>
              <w:rPr>
                <w:szCs w:val="21"/>
              </w:rPr>
            </w:pPr>
            <w:r>
              <w:rPr>
                <w:rFonts w:hint="eastAsia"/>
                <w:szCs w:val="21"/>
              </w:rPr>
              <w:t>1. 根据《儿童健康检查服务技术规范》实现软件功能并能打印出结果。</w:t>
            </w:r>
          </w:p>
          <w:p>
            <w:pPr>
              <w:pStyle w:val="18"/>
              <w:ind w:firstLineChars="0"/>
              <w:rPr>
                <w:szCs w:val="21"/>
              </w:rPr>
            </w:pPr>
            <w:r>
              <w:rPr>
                <w:rFonts w:hint="eastAsia"/>
                <w:szCs w:val="21"/>
              </w:rPr>
              <w:t>2. 根据《儿童心理保健技术规范》实现软件功能并能打印结果。</w:t>
            </w:r>
          </w:p>
          <w:p>
            <w:pPr>
              <w:pStyle w:val="18"/>
              <w:ind w:firstLineChars="0"/>
              <w:rPr>
                <w:rFonts w:asciiTheme="minorEastAsia" w:hAnsiTheme="minorEastAsia"/>
                <w:b/>
                <w:bCs/>
                <w:szCs w:val="21"/>
              </w:rPr>
            </w:pPr>
            <w:r>
              <w:rPr>
                <w:rFonts w:hint="eastAsia"/>
                <w:b/>
                <w:bCs/>
                <w:szCs w:val="21"/>
              </w:rPr>
              <w:t>3.</w:t>
            </w:r>
            <w:r>
              <w:rPr>
                <w:rFonts w:hint="eastAsia" w:asciiTheme="minorEastAsia" w:hAnsiTheme="minorEastAsia"/>
                <w:b/>
                <w:bCs/>
                <w:szCs w:val="21"/>
              </w:rPr>
              <w:t>系统分为随机用户保健和VIP金银卡用户保健，可根据不同会员种类，自动生成查体时间及项目，方便医院对用户的分类管理，及更有针对性的为用户服务。</w:t>
            </w:r>
          </w:p>
          <w:p>
            <w:pPr>
              <w:pStyle w:val="18"/>
              <w:ind w:firstLineChars="0"/>
              <w:rPr>
                <w:rFonts w:asciiTheme="minorEastAsia" w:hAnsiTheme="minorEastAsia"/>
                <w:b/>
                <w:bCs/>
                <w:szCs w:val="21"/>
              </w:rPr>
            </w:pPr>
            <w:r>
              <w:rPr>
                <w:rFonts w:hint="eastAsia" w:asciiTheme="minorEastAsia" w:hAnsiTheme="minorEastAsia"/>
                <w:b/>
                <w:bCs/>
                <w:szCs w:val="21"/>
              </w:rPr>
              <w:t>4.系统必须可以从产科、新生儿科、儿保科数据共享，实现数据互联互通，避免重复建档录入信息。</w:t>
            </w:r>
          </w:p>
          <w:p>
            <w:pPr>
              <w:rPr>
                <w:b/>
                <w:bCs/>
                <w:sz w:val="24"/>
              </w:rPr>
            </w:pPr>
            <w:r>
              <w:rPr>
                <w:rFonts w:hint="eastAsia"/>
                <w:b/>
                <w:bCs/>
                <w:sz w:val="24"/>
              </w:rPr>
              <w:t>三、功能模块</w:t>
            </w:r>
          </w:p>
          <w:p>
            <w:pPr>
              <w:ind w:firstLine="420"/>
              <w:rPr>
                <w:b/>
                <w:bCs/>
                <w:szCs w:val="21"/>
              </w:rPr>
            </w:pPr>
            <w:r>
              <w:rPr>
                <w:rFonts w:hint="eastAsia"/>
                <w:b/>
                <w:bCs/>
                <w:szCs w:val="21"/>
              </w:rPr>
              <w:t>1、系统管理</w:t>
            </w:r>
          </w:p>
          <w:p>
            <w:pPr>
              <w:ind w:firstLine="420"/>
              <w:rPr>
                <w:szCs w:val="21"/>
              </w:rPr>
            </w:pPr>
            <w:r>
              <w:rPr>
                <w:rFonts w:hint="eastAsia"/>
                <w:szCs w:val="21"/>
              </w:rPr>
              <w:t xml:space="preserve">  </w:t>
            </w:r>
            <w:r>
              <w:rPr>
                <w:rFonts w:hint="eastAsia"/>
                <w:szCs w:val="21"/>
              </w:rPr>
              <w:tab/>
            </w:r>
            <w:r>
              <w:rPr>
                <w:rFonts w:hint="eastAsia"/>
                <w:szCs w:val="21"/>
              </w:rPr>
              <w:t>1. 用户管理模块可以增删改，灵活设置不同权限。</w:t>
            </w:r>
          </w:p>
          <w:p>
            <w:pPr>
              <w:ind w:firstLine="420"/>
              <w:rPr>
                <w:szCs w:val="21"/>
              </w:rPr>
            </w:pPr>
            <w:r>
              <w:rPr>
                <w:rFonts w:hint="eastAsia"/>
                <w:szCs w:val="21"/>
              </w:rPr>
              <w:t xml:space="preserve"> </w:t>
            </w:r>
            <w:r>
              <w:rPr>
                <w:rFonts w:hint="eastAsia"/>
                <w:szCs w:val="21"/>
              </w:rPr>
              <w:tab/>
            </w:r>
            <w:r>
              <w:rPr>
                <w:rFonts w:hint="eastAsia"/>
                <w:szCs w:val="21"/>
              </w:rPr>
              <w:t>2. 所有的量表数据都可以进行数据升级。</w:t>
            </w:r>
          </w:p>
          <w:p>
            <w:pPr>
              <w:numPr>
                <w:ilvl w:val="0"/>
                <w:numId w:val="2"/>
              </w:numPr>
              <w:ind w:left="420" w:firstLine="420"/>
              <w:rPr>
                <w:szCs w:val="21"/>
              </w:rPr>
            </w:pPr>
            <w:r>
              <w:rPr>
                <w:rFonts w:hint="eastAsia"/>
                <w:szCs w:val="21"/>
              </w:rPr>
              <w:t>系统所有的查体选项下拉菜单均可进行修改。</w:t>
            </w:r>
          </w:p>
          <w:p>
            <w:pPr>
              <w:numPr>
                <w:ilvl w:val="0"/>
                <w:numId w:val="2"/>
              </w:numPr>
              <w:ind w:left="420" w:firstLine="420"/>
              <w:rPr>
                <w:szCs w:val="21"/>
              </w:rPr>
            </w:pPr>
            <w:r>
              <w:rPr>
                <w:rFonts w:hint="eastAsia"/>
              </w:rPr>
              <w:t>支持A4、A5纸的打印，可以根据需要灵活设置。</w:t>
            </w:r>
          </w:p>
          <w:p>
            <w:pPr>
              <w:ind w:firstLine="420"/>
              <w:rPr>
                <w:b/>
                <w:bCs/>
                <w:szCs w:val="21"/>
              </w:rPr>
            </w:pPr>
            <w:r>
              <w:rPr>
                <w:rFonts w:hint="eastAsia"/>
                <w:b/>
                <w:bCs/>
                <w:szCs w:val="21"/>
              </w:rPr>
              <w:t>2、档案管理（</w:t>
            </w:r>
            <w:r>
              <w:rPr>
                <w:rFonts w:hint="eastAsia"/>
              </w:rPr>
              <w:t>对所有档案进行记录整理统计打印</w:t>
            </w:r>
            <w:r>
              <w:rPr>
                <w:rFonts w:hint="eastAsia"/>
                <w:b/>
                <w:bCs/>
                <w:szCs w:val="21"/>
              </w:rPr>
              <w:t>）</w:t>
            </w:r>
          </w:p>
          <w:p>
            <w:pPr>
              <w:numPr>
                <w:ilvl w:val="0"/>
                <w:numId w:val="3"/>
              </w:numPr>
              <w:ind w:left="420" w:firstLine="420"/>
              <w:rPr>
                <w:szCs w:val="21"/>
              </w:rPr>
            </w:pPr>
            <w:r>
              <w:rPr>
                <w:rFonts w:hint="eastAsia"/>
                <w:szCs w:val="21"/>
              </w:rPr>
              <w:t>出生登记（可打印）：包含出生情况、父母姓名电话、0—20天新生儿保健知识。</w:t>
            </w:r>
          </w:p>
          <w:p>
            <w:pPr>
              <w:numPr>
                <w:ilvl w:val="0"/>
                <w:numId w:val="3"/>
              </w:numPr>
              <w:ind w:left="420" w:firstLine="420"/>
              <w:rPr>
                <w:szCs w:val="21"/>
              </w:rPr>
            </w:pPr>
            <w:r>
              <w:rPr>
                <w:rFonts w:hint="eastAsia"/>
                <w:szCs w:val="21"/>
              </w:rPr>
              <w:t>新建档案（可打印）：基本信息、出生情况记录、照片、封面。</w:t>
            </w:r>
          </w:p>
          <w:p>
            <w:pPr>
              <w:ind w:firstLine="420"/>
              <w:rPr>
                <w:b/>
                <w:bCs/>
                <w:szCs w:val="21"/>
              </w:rPr>
            </w:pPr>
            <w:r>
              <w:rPr>
                <w:rFonts w:hint="eastAsia"/>
                <w:b/>
                <w:bCs/>
                <w:szCs w:val="21"/>
              </w:rPr>
              <w:t>3、查体评估（</w:t>
            </w:r>
            <w:r>
              <w:rPr>
                <w:rFonts w:hint="eastAsia"/>
                <w:szCs w:val="21"/>
              </w:rPr>
              <w:t>可选打印</w:t>
            </w:r>
            <w:r>
              <w:rPr>
                <w:rFonts w:hint="eastAsia"/>
                <w:b/>
                <w:bCs/>
                <w:szCs w:val="21"/>
              </w:rPr>
              <w:t>）</w:t>
            </w:r>
          </w:p>
          <w:p>
            <w:pPr>
              <w:numPr>
                <w:ilvl w:val="0"/>
                <w:numId w:val="4"/>
              </w:numPr>
              <w:ind w:left="420" w:firstLine="420"/>
              <w:rPr>
                <w:szCs w:val="21"/>
              </w:rPr>
            </w:pPr>
            <w:r>
              <w:rPr>
                <w:rFonts w:hint="eastAsia"/>
                <w:szCs w:val="21"/>
              </w:rPr>
              <w:t xml:space="preserve"> 常规查体，测量体重身长头围皮肤，毛发，听视力等。</w:t>
            </w:r>
          </w:p>
          <w:p>
            <w:pPr>
              <w:numPr>
                <w:ilvl w:val="0"/>
                <w:numId w:val="4"/>
              </w:numPr>
              <w:ind w:left="420" w:firstLine="420"/>
              <w:rPr>
                <w:szCs w:val="21"/>
              </w:rPr>
            </w:pPr>
            <w:r>
              <w:rPr>
                <w:rFonts w:hint="eastAsia"/>
                <w:szCs w:val="21"/>
              </w:rPr>
              <w:t xml:space="preserve"> 每次查体根据儿童月龄段自动生成下次查体日期。</w:t>
            </w:r>
          </w:p>
          <w:p>
            <w:pPr>
              <w:numPr>
                <w:ilvl w:val="0"/>
                <w:numId w:val="4"/>
              </w:numPr>
              <w:ind w:left="420" w:firstLine="420"/>
              <w:rPr>
                <w:szCs w:val="21"/>
              </w:rPr>
            </w:pPr>
            <w:r>
              <w:rPr>
                <w:rFonts w:hint="eastAsia"/>
                <w:szCs w:val="21"/>
              </w:rPr>
              <w:t xml:space="preserve"> 每次查体可调取儿童以往查体资料及实时照片。</w:t>
            </w:r>
          </w:p>
          <w:p>
            <w:pPr>
              <w:numPr>
                <w:ilvl w:val="0"/>
                <w:numId w:val="4"/>
              </w:numPr>
              <w:ind w:left="420" w:firstLine="420"/>
              <w:rPr>
                <w:szCs w:val="21"/>
              </w:rPr>
            </w:pPr>
            <w:r>
              <w:rPr>
                <w:rFonts w:hint="eastAsia"/>
                <w:szCs w:val="21"/>
              </w:rPr>
              <w:t xml:space="preserve"> 查体项目均默认未见异常，如有异常，在打印报告单加粗显示。如果查体菜单</w:t>
            </w:r>
            <w:r>
              <w:rPr>
                <w:rFonts w:hint="eastAsia"/>
                <w:szCs w:val="21"/>
              </w:rPr>
              <w:tab/>
            </w:r>
            <w:r>
              <w:rPr>
                <w:rFonts w:hint="eastAsia"/>
                <w:szCs w:val="21"/>
              </w:rPr>
              <w:t>下拉项目未包含当前诊断结果，可选择其它，由医生手动增加。</w:t>
            </w:r>
          </w:p>
          <w:p>
            <w:pPr>
              <w:ind w:firstLine="420"/>
              <w:rPr>
                <w:b/>
                <w:bCs/>
                <w:szCs w:val="21"/>
              </w:rPr>
            </w:pPr>
            <w:r>
              <w:rPr>
                <w:rFonts w:hint="eastAsia"/>
                <w:b/>
                <w:bCs/>
                <w:szCs w:val="21"/>
              </w:rPr>
              <w:t>4、营养评估（</w:t>
            </w:r>
            <w:r>
              <w:rPr>
                <w:rFonts w:hint="eastAsia"/>
                <w:szCs w:val="21"/>
              </w:rPr>
              <w:t>查体结果报告包含打印</w:t>
            </w:r>
            <w:r>
              <w:rPr>
                <w:rFonts w:hint="eastAsia"/>
                <w:b/>
                <w:bCs/>
                <w:szCs w:val="21"/>
              </w:rPr>
              <w:t>）</w:t>
            </w:r>
          </w:p>
          <w:p>
            <w:pPr>
              <w:numPr>
                <w:ilvl w:val="0"/>
                <w:numId w:val="5"/>
              </w:numPr>
              <w:ind w:left="420" w:firstLine="420"/>
              <w:rPr>
                <w:szCs w:val="21"/>
              </w:rPr>
            </w:pPr>
            <w:r>
              <w:rPr>
                <w:rFonts w:hint="eastAsia"/>
                <w:szCs w:val="21"/>
              </w:rPr>
              <w:t xml:space="preserve"> 根据WHO2006体重身高头围生长标准量表进行评估。</w:t>
            </w:r>
          </w:p>
          <w:p>
            <w:pPr>
              <w:numPr>
                <w:ilvl w:val="0"/>
                <w:numId w:val="5"/>
              </w:numPr>
              <w:ind w:left="420" w:firstLine="420"/>
              <w:rPr>
                <w:szCs w:val="21"/>
              </w:rPr>
            </w:pPr>
            <w:r>
              <w:rPr>
                <w:rFonts w:hint="eastAsia"/>
                <w:szCs w:val="21"/>
              </w:rPr>
              <w:t xml:space="preserve"> 根据身高体重头围发育情况综合比较只能生成营养评估结果。</w:t>
            </w:r>
          </w:p>
          <w:p>
            <w:pPr>
              <w:ind w:firstLine="420"/>
              <w:rPr>
                <w:b/>
                <w:bCs/>
                <w:szCs w:val="21"/>
              </w:rPr>
            </w:pPr>
            <w:r>
              <w:rPr>
                <w:rFonts w:hint="eastAsia"/>
                <w:b/>
                <w:bCs/>
                <w:szCs w:val="21"/>
              </w:rPr>
              <w:t>5、保健指导（</w:t>
            </w:r>
            <w:r>
              <w:rPr>
                <w:rFonts w:hint="eastAsia"/>
                <w:szCs w:val="21"/>
              </w:rPr>
              <w:t>可选打印</w:t>
            </w:r>
            <w:r>
              <w:rPr>
                <w:rFonts w:hint="eastAsia"/>
                <w:b/>
                <w:bCs/>
                <w:szCs w:val="21"/>
              </w:rPr>
              <w:t>）</w:t>
            </w:r>
          </w:p>
          <w:p>
            <w:pPr>
              <w:numPr>
                <w:ilvl w:val="0"/>
                <w:numId w:val="6"/>
              </w:numPr>
              <w:ind w:left="420" w:firstLine="420"/>
              <w:rPr>
                <w:b/>
                <w:bCs/>
                <w:szCs w:val="21"/>
              </w:rPr>
            </w:pPr>
            <w:r>
              <w:rPr>
                <w:rFonts w:hint="eastAsia"/>
                <w:b/>
                <w:bCs/>
                <w:szCs w:val="21"/>
              </w:rPr>
              <w:t xml:space="preserve"> 根据儿童月龄段以及喂养方式智能生成保健指导的内容。</w:t>
            </w:r>
          </w:p>
          <w:p>
            <w:pPr>
              <w:numPr>
                <w:ilvl w:val="0"/>
                <w:numId w:val="6"/>
              </w:numPr>
              <w:ind w:left="420" w:firstLine="420"/>
              <w:rPr>
                <w:szCs w:val="21"/>
              </w:rPr>
            </w:pPr>
            <w:r>
              <w:rPr>
                <w:rFonts w:hint="eastAsia"/>
                <w:b/>
                <w:bCs/>
                <w:szCs w:val="21"/>
              </w:rPr>
              <w:t xml:space="preserve"> 保健指导可以进行增加修改删除、重点标记、打印。</w:t>
            </w:r>
          </w:p>
          <w:p>
            <w:pPr>
              <w:ind w:firstLine="420"/>
              <w:rPr>
                <w:b/>
                <w:bCs/>
                <w:szCs w:val="21"/>
              </w:rPr>
            </w:pPr>
            <w:r>
              <w:rPr>
                <w:rFonts w:hint="eastAsia"/>
                <w:b/>
                <w:bCs/>
                <w:szCs w:val="21"/>
              </w:rPr>
              <w:t>6、专案管理</w:t>
            </w:r>
          </w:p>
          <w:p>
            <w:pPr>
              <w:numPr>
                <w:ilvl w:val="0"/>
                <w:numId w:val="7"/>
              </w:numPr>
              <w:ind w:left="420" w:firstLine="420"/>
              <w:rPr>
                <w:szCs w:val="21"/>
              </w:rPr>
            </w:pPr>
            <w:r>
              <w:rPr>
                <w:rFonts w:hint="eastAsia"/>
                <w:szCs w:val="21"/>
              </w:rPr>
              <w:t xml:space="preserve"> 营养性疾病管理专案（营养性贫血、佝偻病等）</w:t>
            </w:r>
          </w:p>
          <w:p>
            <w:pPr>
              <w:numPr>
                <w:ilvl w:val="0"/>
                <w:numId w:val="7"/>
              </w:numPr>
              <w:ind w:left="420" w:firstLine="420"/>
              <w:rPr>
                <w:szCs w:val="21"/>
              </w:rPr>
            </w:pPr>
            <w:r>
              <w:rPr>
                <w:rFonts w:hint="eastAsia"/>
                <w:szCs w:val="21"/>
              </w:rPr>
              <w:t xml:space="preserve"> 高危因素疾病管理（早产儿低体重儿等）。</w:t>
            </w:r>
          </w:p>
          <w:p>
            <w:pPr>
              <w:numPr>
                <w:ilvl w:val="0"/>
                <w:numId w:val="7"/>
              </w:numPr>
              <w:ind w:left="420" w:firstLine="420"/>
              <w:rPr>
                <w:szCs w:val="21"/>
              </w:rPr>
            </w:pPr>
            <w:r>
              <w:rPr>
                <w:rFonts w:hint="eastAsia"/>
                <w:szCs w:val="21"/>
              </w:rPr>
              <w:t xml:space="preserve"> 统计分类两种专案类型的查体时间与查体内容。</w:t>
            </w:r>
          </w:p>
          <w:p>
            <w:pPr>
              <w:ind w:firstLine="420"/>
              <w:rPr>
                <w:b/>
                <w:bCs/>
                <w:szCs w:val="21"/>
              </w:rPr>
            </w:pPr>
            <w:r>
              <w:rPr>
                <w:rFonts w:hint="eastAsia"/>
                <w:b/>
                <w:bCs/>
                <w:szCs w:val="21"/>
              </w:rPr>
              <w:t>7、0-6儿心发育量表（</w:t>
            </w:r>
            <w:r>
              <w:rPr>
                <w:rFonts w:hint="eastAsia"/>
                <w:szCs w:val="21"/>
              </w:rPr>
              <w:t>查体结果报告包含打印或单独打印</w:t>
            </w:r>
            <w:r>
              <w:rPr>
                <w:rFonts w:hint="eastAsia"/>
                <w:b/>
                <w:bCs/>
                <w:szCs w:val="21"/>
              </w:rPr>
              <w:t>）</w:t>
            </w:r>
          </w:p>
          <w:p>
            <w:pPr>
              <w:numPr>
                <w:ilvl w:val="0"/>
                <w:numId w:val="8"/>
              </w:numPr>
              <w:ind w:left="840"/>
              <w:rPr>
                <w:szCs w:val="21"/>
              </w:rPr>
            </w:pPr>
            <w:r>
              <w:rPr>
                <w:rFonts w:hint="eastAsia"/>
                <w:szCs w:val="21"/>
              </w:rPr>
              <w:t xml:space="preserve"> 本系统使用0-6岁儿心测试量表测评儿童DQ值。</w:t>
            </w:r>
          </w:p>
          <w:p>
            <w:pPr>
              <w:numPr>
                <w:ilvl w:val="0"/>
                <w:numId w:val="8"/>
              </w:numPr>
              <w:ind w:left="840"/>
              <w:rPr>
                <w:szCs w:val="21"/>
              </w:rPr>
            </w:pPr>
            <w:r>
              <w:rPr>
                <w:rFonts w:hint="eastAsia"/>
                <w:szCs w:val="21"/>
              </w:rPr>
              <w:t xml:space="preserve"> 根据儿童月龄显示对应测试项目。（“前三后三”）。</w:t>
            </w:r>
          </w:p>
          <w:p>
            <w:pPr>
              <w:numPr>
                <w:ilvl w:val="0"/>
                <w:numId w:val="8"/>
              </w:numPr>
              <w:ind w:left="840"/>
              <w:rPr>
                <w:szCs w:val="21"/>
              </w:rPr>
            </w:pPr>
            <w:r>
              <w:rPr>
                <w:rFonts w:hint="eastAsia"/>
                <w:szCs w:val="21"/>
              </w:rPr>
              <w:t xml:space="preserve"> 本测试报告单默认综合查体报告打印。也可独立打印。</w:t>
            </w:r>
          </w:p>
          <w:p>
            <w:pPr>
              <w:ind w:firstLine="420"/>
            </w:pPr>
            <w:r>
              <w:rPr>
                <w:rFonts w:hint="eastAsia"/>
                <w:b/>
                <w:bCs/>
                <w:szCs w:val="21"/>
              </w:rPr>
              <w:t>8、</w:t>
            </w:r>
            <w:r>
              <w:rPr>
                <w:rFonts w:hint="eastAsia"/>
                <w:b/>
                <w:bCs/>
              </w:rPr>
              <w:t>儿童气质测评</w:t>
            </w:r>
          </w:p>
          <w:p>
            <w:pPr>
              <w:ind w:left="382" w:hanging="384" w:hangingChars="200"/>
            </w:pPr>
            <w:r>
              <w:rPr>
                <w:rFonts w:hint="eastAsia"/>
              </w:rPr>
              <w:tab/>
            </w:r>
            <w:r>
              <w:rPr>
                <w:rFonts w:hint="eastAsia"/>
              </w:rPr>
              <w:t>观察儿童在每天生活里不同情况下的表现行为，测评得出相应的气质特征，帮助你以适合儿童气质特征的教养方式，协助他（她）健全的发育，有效的学习。儿童气质量表分为三个：4-8月婴幼儿气质、1-3岁儿童气质、3-7岁儿童气质量表。</w:t>
            </w:r>
          </w:p>
          <w:p>
            <w:pPr>
              <w:ind w:left="382" w:hanging="384" w:hangingChars="200"/>
              <w:rPr>
                <w:b/>
                <w:bCs/>
              </w:rPr>
            </w:pPr>
            <w:r>
              <w:rPr>
                <w:rFonts w:hint="eastAsia"/>
              </w:rPr>
              <w:t xml:space="preserve">    </w:t>
            </w:r>
            <w:r>
              <w:rPr>
                <w:rFonts w:hint="eastAsia"/>
                <w:b/>
                <w:bCs/>
              </w:rPr>
              <w:t>9</w:t>
            </w:r>
            <w:r>
              <w:rPr>
                <w:rFonts w:hint="eastAsia"/>
                <w:b/>
                <w:bCs/>
                <w:szCs w:val="21"/>
              </w:rPr>
              <w:t>、</w:t>
            </w:r>
            <w:r>
              <w:rPr>
                <w:rFonts w:hint="eastAsia"/>
                <w:b/>
                <w:bCs/>
              </w:rPr>
              <w:t xml:space="preserve"> 儿童孤独症测评</w:t>
            </w:r>
          </w:p>
          <w:p>
            <w:pPr>
              <w:ind w:left="382" w:hanging="384" w:hangingChars="200"/>
            </w:pPr>
            <w:r>
              <w:rPr>
                <w:rFonts w:hint="eastAsia"/>
              </w:rPr>
              <w:tab/>
            </w:r>
            <w:r>
              <w:rPr>
                <w:rFonts w:hint="eastAsia"/>
              </w:rPr>
              <w:t>1~6岁儿童和同龄孩子处于同样情境相比，得出是否有孤独症，以及孤独症的轻重，早发现，早就诊。</w:t>
            </w:r>
          </w:p>
          <w:p>
            <w:pPr>
              <w:ind w:left="382" w:hanging="384" w:hangingChars="200"/>
            </w:pPr>
            <w:r>
              <w:rPr>
                <w:rFonts w:hint="eastAsia"/>
              </w:rPr>
              <w:t xml:space="preserve">   </w:t>
            </w:r>
            <w:r>
              <w:rPr>
                <w:rFonts w:hint="eastAsia"/>
                <w:b/>
                <w:bCs/>
              </w:rPr>
              <w:t xml:space="preserve"> 10、 婴幼儿孤独症测评</w:t>
            </w:r>
          </w:p>
          <w:p>
            <w:pPr>
              <w:ind w:left="382" w:hanging="384" w:hangingChars="200"/>
            </w:pPr>
            <w:r>
              <w:rPr>
                <w:rFonts w:hint="eastAsia"/>
              </w:rPr>
              <w:tab/>
            </w:r>
            <w:r>
              <w:rPr>
                <w:rFonts w:hint="eastAsia"/>
              </w:rPr>
              <w:t>测评婴幼儿（0~1岁）的孤独症情况，一旦确认患有孤独症，家长需高度重视。</w:t>
            </w:r>
          </w:p>
          <w:p>
            <w:pPr>
              <w:ind w:left="382" w:hanging="384" w:hangingChars="200"/>
              <w:rPr>
                <w:b/>
                <w:bCs/>
              </w:rPr>
            </w:pPr>
            <w:r>
              <w:rPr>
                <w:rFonts w:hint="eastAsia"/>
              </w:rPr>
              <w:t xml:space="preserve">   </w:t>
            </w:r>
            <w:r>
              <w:rPr>
                <w:rFonts w:hint="eastAsia"/>
                <w:b/>
                <w:bCs/>
              </w:rPr>
              <w:t xml:space="preserve"> 11、  DDST发育筛查测试</w:t>
            </w:r>
          </w:p>
          <w:p>
            <w:pPr>
              <w:ind w:left="382" w:hanging="384" w:hangingChars="200"/>
            </w:pPr>
            <w:r>
              <w:rPr>
                <w:rFonts w:hint="eastAsia"/>
              </w:rPr>
              <w:tab/>
            </w:r>
            <w:r>
              <w:rPr>
                <w:rFonts w:hint="eastAsia"/>
              </w:rPr>
              <w:t>根据儿童不同月龄划年龄线，找出测试项目，测评得出发育状况。</w:t>
            </w:r>
          </w:p>
          <w:p>
            <w:pPr>
              <w:ind w:left="420"/>
              <w:rPr>
                <w:b/>
                <w:bCs/>
              </w:rPr>
            </w:pPr>
            <w:r>
              <w:rPr>
                <w:rFonts w:hint="eastAsia"/>
                <w:b/>
                <w:bCs/>
              </w:rPr>
              <w:t>12、  0-3岁婴幼儿语言发育筛查量表</w:t>
            </w:r>
          </w:p>
          <w:p>
            <w:pPr>
              <w:ind w:left="420"/>
            </w:pPr>
            <w:r>
              <w:rPr>
                <w:rFonts w:hint="eastAsia"/>
              </w:rPr>
              <w:t>有效检测儿童的语言发育情况，筛查儿童语言发育迟缓因素，及时发现，及时引导。</w:t>
            </w:r>
          </w:p>
          <w:p>
            <w:pPr>
              <w:ind w:left="420"/>
              <w:rPr>
                <w:b/>
                <w:bCs/>
              </w:rPr>
            </w:pPr>
            <w:r>
              <w:rPr>
                <w:rFonts w:hint="eastAsia"/>
                <w:b/>
                <w:bCs/>
              </w:rPr>
              <w:t>13、  3-6岁儿童多动症筛查量表</w:t>
            </w:r>
          </w:p>
          <w:p>
            <w:pPr>
              <w:ind w:left="420"/>
            </w:pPr>
            <w:r>
              <w:rPr>
                <w:rFonts w:hint="eastAsia"/>
              </w:rPr>
              <w:t>判断儿童行为是否属于多动症范畴，为医生评判提供参考的依据，有效对儿童进行干预指导。</w:t>
            </w:r>
          </w:p>
          <w:p>
            <w:pPr>
              <w:ind w:left="420"/>
              <w:rPr>
                <w:b/>
                <w:bCs/>
              </w:rPr>
            </w:pPr>
            <w:r>
              <w:rPr>
                <w:rFonts w:hint="eastAsia"/>
                <w:b/>
                <w:bCs/>
              </w:rPr>
              <w:t>14、  瑞文智力测验</w:t>
            </w:r>
          </w:p>
          <w:p>
            <w:pPr>
              <w:ind w:left="420"/>
            </w:pPr>
            <w:r>
              <w:rPr>
                <w:rFonts w:hint="eastAsia"/>
              </w:rPr>
              <w:t>有效判断儿童智力发育情况，对儿童智力发育进行有效评估，为医生评判提供参考的依据。</w:t>
            </w:r>
          </w:p>
          <w:p>
            <w:pPr>
              <w:ind w:left="420"/>
              <w:rPr>
                <w:b/>
                <w:bCs/>
              </w:rPr>
            </w:pPr>
            <w:r>
              <w:rPr>
                <w:rFonts w:hint="eastAsia"/>
                <w:b/>
                <w:bCs/>
              </w:rPr>
              <w:t>15、  格赛尔-Gesell测评</w:t>
            </w:r>
          </w:p>
          <w:p>
            <w:pPr>
              <w:ind w:left="420"/>
              <w:rPr>
                <w:rFonts w:asciiTheme="minorEastAsia" w:hAnsiTheme="minorEastAsia" w:cstheme="minorEastAsia"/>
              </w:rPr>
            </w:pPr>
            <w:r>
              <w:rPr>
                <w:rFonts w:hint="eastAsia" w:asciiTheme="minorEastAsia" w:hAnsiTheme="minorEastAsia" w:eastAsiaTheme="minorEastAsia" w:cstheme="minorEastAsia"/>
                <w:szCs w:val="21"/>
                <w:shd w:val="clear" w:color="auto" w:fill="FFFFFF"/>
              </w:rPr>
              <w:t>不仅适用于测量幼儿的发展水平,而且比其他量表更适用于伤残儿,被认为是婴幼儿智能测试的经典方法</w:t>
            </w:r>
            <w:r>
              <w:rPr>
                <w:rFonts w:hint="eastAsia" w:asciiTheme="minorEastAsia" w:hAnsiTheme="minorEastAsia" w:cstheme="minorEastAsia"/>
                <w:szCs w:val="21"/>
                <w:shd w:val="clear" w:color="auto" w:fill="FFFFFF"/>
              </w:rPr>
              <w:t>，为儿童行为发育提供有力保证</w:t>
            </w:r>
            <w:r>
              <w:rPr>
                <w:rFonts w:hint="eastAsia" w:asciiTheme="minorEastAsia" w:hAnsiTheme="minorEastAsia" w:eastAsiaTheme="minorEastAsia" w:cstheme="minorEastAsia"/>
              </w:rPr>
              <w:t>。</w:t>
            </w:r>
          </w:p>
          <w:p>
            <w:pPr>
              <w:ind w:left="420"/>
              <w:rPr>
                <w:b/>
                <w:bCs/>
              </w:rPr>
            </w:pPr>
            <w:r>
              <w:rPr>
                <w:rFonts w:hint="eastAsia"/>
                <w:b/>
                <w:bCs/>
              </w:rPr>
              <w:t>16、  韦氏学龄前和学龄初期（儿童）测评</w:t>
            </w:r>
          </w:p>
          <w:p>
            <w:pPr>
              <w:ind w:left="420"/>
            </w:pPr>
            <w:r>
              <w:rPr>
                <w:rFonts w:hint="eastAsia"/>
              </w:rPr>
              <w:t>儿童尤其是学龄前儿童正处于智力发展的关键时期，这个时期他们的学习接受能力较强，此时的智力发展直接关系到儿童后期学习能力，智力发育测评能有效的检测儿童智力发育情况。</w:t>
            </w:r>
          </w:p>
          <w:p>
            <w:pPr>
              <w:rPr>
                <w:b/>
                <w:bCs/>
              </w:rPr>
            </w:pPr>
            <w:r>
              <w:rPr>
                <w:b/>
                <w:bCs/>
              </w:rPr>
              <w:t xml:space="preserve">    17、</w:t>
            </w:r>
            <w:r>
              <w:rPr>
                <w:rFonts w:hint="eastAsia"/>
                <w:b/>
                <w:bCs/>
              </w:rPr>
              <w:t xml:space="preserve"> Weiss功能缺陷量表父母版</w:t>
            </w:r>
          </w:p>
          <w:p>
            <w:pPr>
              <w:ind w:left="420"/>
            </w:pPr>
            <w:r>
              <w:rPr>
                <w:rFonts w:hint="eastAsia"/>
              </w:rPr>
              <w:t>判断智力发育缺陷，为患儿的智力发育测评提供有效的参考依据，也可测试成人智力发育是否存在缺陷等。</w:t>
            </w:r>
          </w:p>
          <w:p>
            <w:pPr>
              <w:ind w:left="420"/>
              <w:rPr>
                <w:b/>
                <w:bCs/>
              </w:rPr>
            </w:pPr>
            <w:r>
              <w:rPr>
                <w:rFonts w:hint="eastAsia"/>
                <w:b/>
                <w:bCs/>
              </w:rPr>
              <w:t>18、  儿童孤独症测评家长问卷</w:t>
            </w:r>
          </w:p>
          <w:p>
            <w:pPr>
              <w:ind w:left="420"/>
            </w:pPr>
            <w:r>
              <w:rPr>
                <w:rFonts w:hint="eastAsia"/>
              </w:rPr>
              <w:t>更为有效的判断儿童行为是否属于孤独症，家长对儿童行为得到重视，为医生评判提供参考的依据。</w:t>
            </w:r>
          </w:p>
          <w:p>
            <w:pPr>
              <w:ind w:left="420"/>
              <w:rPr>
                <w:b/>
                <w:bCs/>
              </w:rPr>
            </w:pPr>
            <w:r>
              <w:rPr>
                <w:rFonts w:hint="eastAsia"/>
                <w:b/>
                <w:bCs/>
              </w:rPr>
              <w:t>19、  儿童感觉统合能力发展评定</w:t>
            </w:r>
          </w:p>
          <w:p>
            <w:pPr>
              <w:ind w:left="420"/>
            </w:pPr>
            <w:r>
              <w:rPr>
                <w:rFonts w:hint="eastAsia"/>
              </w:rPr>
              <w:t>有利于发展幼儿应变能力和协调能力,有利于幼儿身体的发育及终身成长,有利于培养幼儿良好的心理品质,有利于幼儿合群、开朗个性的形成,有利于孩子专注力的培养。</w:t>
            </w:r>
          </w:p>
          <w:p>
            <w:pPr>
              <w:ind w:left="420"/>
              <w:rPr>
                <w:b/>
                <w:bCs/>
              </w:rPr>
            </w:pPr>
            <w:r>
              <w:rPr>
                <w:rFonts w:hint="eastAsia"/>
                <w:b/>
                <w:bCs/>
              </w:rPr>
              <w:t>20、  0-1岁新生儿行为神经评分表</w:t>
            </w:r>
          </w:p>
          <w:p>
            <w:pPr>
              <w:ind w:left="420"/>
            </w:pPr>
            <w:r>
              <w:rPr>
                <w:rFonts w:hint="eastAsia"/>
              </w:rPr>
              <w:t>有利于判断儿童神经行为发育，综合这些方法的评估结果，可以帮助我们尽早准确识别处于发育伤残危险的婴儿，有利于为他们提供及时的早期干预。</w:t>
            </w:r>
          </w:p>
          <w:p>
            <w:pPr>
              <w:rPr>
                <w:b/>
                <w:bCs/>
              </w:rPr>
            </w:pPr>
            <w:r>
              <w:rPr>
                <w:b/>
                <w:bCs/>
              </w:rPr>
              <w:t xml:space="preserve">    21、</w:t>
            </w:r>
            <w:r>
              <w:rPr>
                <w:rFonts w:hint="eastAsia"/>
                <w:b/>
                <w:bCs/>
              </w:rPr>
              <w:t>汉语沟通发展评测量表：</w:t>
            </w:r>
          </w:p>
          <w:p>
            <w:pPr>
              <w:ind w:left="420"/>
              <w:rPr>
                <w:b/>
                <w:bCs/>
              </w:rPr>
            </w:pPr>
            <w:r>
              <w:rPr>
                <w:rFonts w:hint="eastAsia"/>
                <w:b/>
                <w:bCs/>
              </w:rPr>
              <w:t>有效检测儿童的语言发育情况，筛查儿童语言发育迟缓因素，及时发现，及时引导</w:t>
            </w:r>
          </w:p>
          <w:p>
            <w:pPr>
              <w:rPr>
                <w:b/>
                <w:bCs/>
              </w:rPr>
            </w:pPr>
            <w:r>
              <w:rPr>
                <w:b/>
                <w:bCs/>
              </w:rPr>
              <w:t xml:space="preserve">    22、</w:t>
            </w:r>
            <w:r>
              <w:rPr>
                <w:rFonts w:hint="eastAsia"/>
                <w:b/>
                <w:bCs/>
              </w:rPr>
              <w:t>孤独症ABC测评量表：</w:t>
            </w:r>
          </w:p>
          <w:p>
            <w:pPr>
              <w:ind w:firstLine="384" w:firstLineChars="200"/>
            </w:pPr>
            <w:r>
              <w:rPr>
                <w:rFonts w:hint="eastAsia"/>
              </w:rPr>
              <w:t>测评儿童的孤独症情况，一旦确认患有孤独症，家长需高度重视。</w:t>
            </w:r>
          </w:p>
          <w:p>
            <w:pPr>
              <w:ind w:left="420"/>
              <w:rPr>
                <w:b/>
                <w:bCs/>
              </w:rPr>
            </w:pPr>
            <w:r>
              <w:rPr>
                <w:rFonts w:hint="eastAsia"/>
                <w:b/>
                <w:bCs/>
              </w:rPr>
              <w:t>23、韦氏（大韦）测评</w:t>
            </w:r>
          </w:p>
          <w:p>
            <w:pPr>
              <w:ind w:left="420"/>
            </w:pPr>
            <w:r>
              <w:rPr>
                <w:rFonts w:hint="eastAsia"/>
              </w:rPr>
              <w:t>儿童正处于智力发展的关键时期，这个时期他们的学习接受能力较强，此时的智力发展直接关系到儿童后期学习能力，智力发育测评能有效的检测儿童智力发育情况。</w:t>
            </w:r>
          </w:p>
          <w:p>
            <w:pPr>
              <w:ind w:firstLine="384" w:firstLineChars="200"/>
              <w:rPr>
                <w:b/>
                <w:bCs/>
              </w:rPr>
            </w:pPr>
            <w:r>
              <w:rPr>
                <w:rFonts w:hint="eastAsia"/>
                <w:b/>
                <w:bCs/>
              </w:rPr>
              <w:t>24、儿童幼托查体健康管理</w:t>
            </w:r>
          </w:p>
          <w:p>
            <w:pPr>
              <w:ind w:left="384" w:leftChars="200" w:firstLine="192" w:firstLineChars="100"/>
            </w:pPr>
            <w:r>
              <w:rPr>
                <w:rFonts w:hint="eastAsia"/>
              </w:rPr>
              <w:t>1、档案智能化管理：一次建档，长期使用，转园调档</w:t>
            </w:r>
          </w:p>
          <w:p>
            <w:pPr>
              <w:ind w:left="384" w:leftChars="200" w:firstLine="192" w:firstLineChars="100"/>
            </w:pPr>
            <w:r>
              <w:rPr>
                <w:rFonts w:hint="eastAsia"/>
              </w:rPr>
              <w:t>2、幼托单位管理：多级管理，集中管控</w:t>
            </w:r>
          </w:p>
          <w:p>
            <w:pPr>
              <w:ind w:left="384" w:leftChars="200" w:firstLine="192" w:firstLineChars="100"/>
              <w:rPr>
                <w:szCs w:val="21"/>
              </w:rPr>
            </w:pPr>
            <w:r>
              <w:rPr>
                <w:rFonts w:hint="eastAsia"/>
              </w:rPr>
              <w:t>3、健康检查：提供专业生长发育、体格评测，综合检验结果，生成一体化的标准入园、在园健康检查档案</w:t>
            </w:r>
            <w:r>
              <w:rPr>
                <w:rFonts w:hint="eastAsia"/>
                <w:b/>
                <w:bCs/>
                <w:szCs w:val="21"/>
              </w:rPr>
              <w:t xml:space="preserve">   </w:t>
            </w:r>
          </w:p>
          <w:p>
            <w:pPr>
              <w:ind w:firstLine="420"/>
              <w:rPr>
                <w:b/>
                <w:bCs/>
                <w:szCs w:val="21"/>
              </w:rPr>
            </w:pPr>
            <w:r>
              <w:rPr>
                <w:rFonts w:hint="eastAsia"/>
                <w:b/>
                <w:bCs/>
                <w:szCs w:val="21"/>
              </w:rPr>
              <w:t>25、</w:t>
            </w:r>
            <w:r>
              <w:rPr>
                <w:b/>
                <w:bCs/>
                <w:szCs w:val="21"/>
              </w:rPr>
              <w:t>膳食营养评价</w:t>
            </w:r>
          </w:p>
          <w:p>
            <w:pPr>
              <w:ind w:firstLine="420"/>
              <w:rPr>
                <w:b/>
                <w:bCs/>
                <w:szCs w:val="21"/>
              </w:rPr>
            </w:pPr>
            <w:r>
              <w:rPr>
                <w:b/>
                <w:bCs/>
                <w:szCs w:val="21"/>
              </w:rPr>
              <w:t>26、</w:t>
            </w:r>
            <w:r>
              <w:rPr>
                <w:rFonts w:hint="eastAsia"/>
                <w:b/>
                <w:bCs/>
                <w:szCs w:val="21"/>
              </w:rPr>
              <w:t>数据统计与备份</w:t>
            </w:r>
          </w:p>
          <w:p>
            <w:pPr>
              <w:ind w:left="420"/>
              <w:rPr>
                <w:szCs w:val="21"/>
              </w:rPr>
            </w:pPr>
            <w:r>
              <w:rPr>
                <w:rFonts w:hint="eastAsia"/>
                <w:szCs w:val="21"/>
              </w:rPr>
              <w:t>工作量统计。</w:t>
            </w:r>
          </w:p>
          <w:p>
            <w:pPr>
              <w:ind w:left="420"/>
              <w:rPr>
                <w:szCs w:val="21"/>
              </w:rPr>
            </w:pPr>
            <w:r>
              <w:rPr>
                <w:rFonts w:hint="eastAsia"/>
                <w:szCs w:val="21"/>
              </w:rPr>
              <w:t>体重、身高、头围、W/H统计。</w:t>
            </w:r>
          </w:p>
          <w:p>
            <w:pPr>
              <w:ind w:left="420"/>
              <w:rPr>
                <w:szCs w:val="21"/>
              </w:rPr>
            </w:pPr>
            <w:r>
              <w:rPr>
                <w:rFonts w:hint="eastAsia"/>
                <w:szCs w:val="21"/>
              </w:rPr>
              <w:t>档案基本信息统计。</w:t>
            </w:r>
          </w:p>
          <w:p>
            <w:pPr>
              <w:ind w:left="420"/>
              <w:rPr>
                <w:szCs w:val="21"/>
              </w:rPr>
            </w:pPr>
            <w:r>
              <w:rPr>
                <w:rFonts w:hint="eastAsia"/>
                <w:szCs w:val="21"/>
              </w:rPr>
              <w:t>查体评估所有项目统计。</w:t>
            </w:r>
          </w:p>
          <w:p>
            <w:pPr>
              <w:ind w:firstLine="384" w:firstLineChars="200"/>
              <w:rPr>
                <w:szCs w:val="21"/>
              </w:rPr>
            </w:pPr>
            <w:r>
              <w:rPr>
                <w:rFonts w:hint="eastAsia"/>
                <w:szCs w:val="21"/>
              </w:rPr>
              <w:t>BMI增长统计。</w:t>
            </w:r>
          </w:p>
          <w:p>
            <w:pPr>
              <w:ind w:firstLine="384" w:firstLineChars="200"/>
              <w:rPr>
                <w:szCs w:val="21"/>
              </w:rPr>
            </w:pPr>
            <w:r>
              <w:rPr>
                <w:rFonts w:hint="eastAsia"/>
                <w:szCs w:val="21"/>
              </w:rPr>
              <w:t>DQ增长统计。</w:t>
            </w:r>
          </w:p>
          <w:p>
            <w:pPr>
              <w:ind w:firstLine="384" w:firstLineChars="200"/>
              <w:rPr>
                <w:szCs w:val="21"/>
              </w:rPr>
            </w:pPr>
            <w:r>
              <w:rPr>
                <w:rFonts w:hint="eastAsia"/>
                <w:szCs w:val="21"/>
              </w:rPr>
              <w:t>专案管理分类统计。</w:t>
            </w:r>
          </w:p>
          <w:p>
            <w:pPr>
              <w:ind w:firstLine="384" w:firstLineChars="200"/>
              <w:rPr>
                <w:szCs w:val="21"/>
              </w:rPr>
            </w:pPr>
            <w:r>
              <w:rPr>
                <w:rFonts w:hint="eastAsia"/>
                <w:szCs w:val="21"/>
              </w:rPr>
              <w:t>会员类型统计。</w:t>
            </w:r>
          </w:p>
          <w:p>
            <w:pPr>
              <w:ind w:firstLine="384" w:firstLineChars="200"/>
              <w:rPr>
                <w:szCs w:val="21"/>
              </w:rPr>
            </w:pPr>
            <w:r>
              <w:rPr>
                <w:rFonts w:hint="eastAsia"/>
                <w:szCs w:val="21"/>
              </w:rPr>
              <w:t>喂养方式统计。</w:t>
            </w:r>
          </w:p>
          <w:p>
            <w:pPr>
              <w:ind w:firstLine="384" w:firstLineChars="200"/>
              <w:rPr>
                <w:szCs w:val="21"/>
              </w:rPr>
            </w:pPr>
            <w:r>
              <w:rPr>
                <w:rFonts w:hint="eastAsia"/>
                <w:szCs w:val="21"/>
              </w:rPr>
              <w:t>入园体检统计。</w:t>
            </w:r>
          </w:p>
          <w:p>
            <w:pPr>
              <w:ind w:firstLine="384" w:firstLineChars="200"/>
              <w:rPr>
                <w:szCs w:val="21"/>
              </w:rPr>
            </w:pPr>
            <w:r>
              <w:rPr>
                <w:rFonts w:hint="eastAsia"/>
                <w:szCs w:val="21"/>
              </w:rPr>
              <w:t>系统所有数据自动备份保存，保证数据安全性。</w:t>
            </w:r>
          </w:p>
          <w:p>
            <w:pPr>
              <w:ind w:firstLine="384" w:firstLineChars="200"/>
              <w:rPr>
                <w:szCs w:val="21"/>
              </w:rPr>
            </w:pPr>
            <w:r>
              <w:rPr>
                <w:rFonts w:hint="eastAsia"/>
                <w:szCs w:val="21"/>
              </w:rPr>
              <w:t>四、其它</w:t>
            </w:r>
          </w:p>
          <w:p>
            <w:pPr>
              <w:ind w:firstLine="384" w:firstLineChars="200"/>
              <w:rPr>
                <w:szCs w:val="21"/>
              </w:rPr>
            </w:pPr>
            <w:r>
              <w:rPr>
                <w:rFonts w:hint="eastAsia"/>
                <w:szCs w:val="21"/>
              </w:rPr>
              <w:t>1、如医院方需要，中标方无条件免费提供与其他信息系统的对接工作。</w:t>
            </w:r>
          </w:p>
          <w:p>
            <w:pPr>
              <w:ind w:firstLine="384" w:firstLineChars="200"/>
              <w:rPr>
                <w:szCs w:val="21"/>
              </w:rPr>
            </w:pPr>
            <w:r>
              <w:rPr>
                <w:rFonts w:hint="eastAsia"/>
                <w:szCs w:val="21"/>
              </w:rPr>
              <w:t>2、提供本系统运行所需摄像系统一套。</w:t>
            </w:r>
          </w:p>
          <w:p>
            <w:pPr>
              <w:ind w:firstLine="384" w:firstLineChars="200"/>
              <w:rPr>
                <w:szCs w:val="21"/>
              </w:rPr>
            </w:pPr>
            <w:r>
              <w:rPr>
                <w:szCs w:val="21"/>
              </w:rPr>
              <w:t>3、提供量表所需工具箱，并负责技术指导。</w:t>
            </w:r>
          </w:p>
          <w:p>
            <w:pPr>
              <w:ind w:firstLine="384" w:firstLineChars="200"/>
              <w:rPr>
                <w:szCs w:val="21"/>
              </w:rPr>
            </w:pPr>
            <w:r>
              <w:rPr>
                <w:rFonts w:hint="eastAsia"/>
                <w:szCs w:val="21"/>
              </w:rPr>
              <w:t>五、售后服务</w:t>
            </w:r>
          </w:p>
          <w:p>
            <w:pPr>
              <w:pStyle w:val="20"/>
              <w:numPr>
                <w:ilvl w:val="0"/>
                <w:numId w:val="9"/>
              </w:numPr>
              <w:ind w:firstLineChars="0"/>
              <w:rPr>
                <w:szCs w:val="21"/>
              </w:rPr>
            </w:pPr>
            <w:r>
              <w:rPr>
                <w:rFonts w:hint="eastAsia"/>
                <w:szCs w:val="21"/>
              </w:rPr>
              <w:t>系统终身免费升级。</w:t>
            </w:r>
          </w:p>
          <w:p>
            <w:pPr>
              <w:pStyle w:val="20"/>
              <w:numPr>
                <w:ilvl w:val="0"/>
                <w:numId w:val="9"/>
              </w:numPr>
              <w:ind w:firstLineChars="0"/>
              <w:rPr>
                <w:szCs w:val="21"/>
              </w:rPr>
            </w:pPr>
            <w:r>
              <w:rPr>
                <w:rFonts w:hint="eastAsia"/>
                <w:szCs w:val="21"/>
              </w:rPr>
              <w:t>系统免费维护二年。</w:t>
            </w:r>
          </w:p>
          <w:p>
            <w:pPr>
              <w:pStyle w:val="20"/>
              <w:numPr>
                <w:ilvl w:val="0"/>
                <w:numId w:val="9"/>
              </w:numPr>
              <w:ind w:firstLineChars="0"/>
              <w:rPr>
                <w:szCs w:val="21"/>
              </w:rPr>
            </w:pPr>
            <w:r>
              <w:rPr>
                <w:rFonts w:hint="eastAsia"/>
                <w:szCs w:val="21"/>
              </w:rPr>
              <w:t>免费维护期满后软件年维护费用不超过合同中软件总金额的百分之五。</w:t>
            </w:r>
          </w:p>
          <w:p>
            <w:pPr>
              <w:ind w:firstLine="384" w:firstLineChars="200"/>
              <w:rPr>
                <w:szCs w:val="21"/>
              </w:rPr>
            </w:pPr>
          </w:p>
          <w:p>
            <w:pPr>
              <w:spacing w:beforeLines="50" w:afterLines="50"/>
              <w:rPr>
                <w:rFonts w:ascii="宋体" w:hAnsi="宋体" w:cs="仿宋_GB2312"/>
                <w:bCs/>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36" w:hRule="atLeast"/>
        </w:trPr>
        <w:tc>
          <w:tcPr>
            <w:tcW w:w="9980" w:type="dxa"/>
            <w:gridSpan w:val="2"/>
          </w:tcPr>
          <w:p>
            <w:pPr>
              <w:widowControl/>
              <w:ind w:firstLine="1199" w:firstLineChars="540"/>
              <w:rPr>
                <w:rFonts w:ascii="黑体" w:hAnsi="黑体" w:eastAsia="黑体"/>
                <w:color w:val="000000"/>
                <w:sz w:val="24"/>
              </w:rPr>
            </w:pPr>
            <w:bookmarkStart w:id="0" w:name="_GoBack"/>
            <w:bookmarkEnd w:id="0"/>
          </w:p>
        </w:tc>
      </w:tr>
    </w:tbl>
    <w:p>
      <w:pPr>
        <w:rPr>
          <w:rFonts w:ascii="仿宋_GB2312" w:hAnsi="宋体" w:eastAsia="仿宋_GB2312" w:cs="仿宋"/>
          <w:sz w:val="24"/>
        </w:rPr>
      </w:pPr>
    </w:p>
    <w:sectPr>
      <w:pgSz w:w="11906" w:h="16838"/>
      <w:pgMar w:top="1134" w:right="1134" w:bottom="1134" w:left="1134" w:header="851" w:footer="992" w:gutter="0"/>
      <w:cols w:space="720" w:num="1"/>
      <w:docGrid w:type="linesAndChars" w:linePitch="455" w:charSpace="-38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微软雅黑">
    <w:panose1 w:val="020B0503020204020204"/>
    <w:charset w:val="86"/>
    <w:family w:val="swiss"/>
    <w:pitch w:val="default"/>
    <w:sig w:usb0="80000287" w:usb1="280F3C52"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D944F"/>
    <w:multiLevelType w:val="multilevel"/>
    <w:tmpl w:val="578D944F"/>
    <w:lvl w:ilvl="0" w:tentative="0">
      <w:start w:val="1"/>
      <w:numFmt w:val="chineseCounting"/>
      <w:suff w:val="nothing"/>
      <w:lvlText w:val="%1、"/>
      <w:lvlJc w:val="left"/>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1">
    <w:nsid w:val="578D9E01"/>
    <w:multiLevelType w:val="multilevel"/>
    <w:tmpl w:val="578D9E01"/>
    <w:lvl w:ilvl="0" w:tentative="0">
      <w:start w:val="1"/>
      <w:numFmt w:val="decimal"/>
      <w:suff w:val="space"/>
      <w:lvlText w:val="%1."/>
      <w:lvlJc w:val="left"/>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2">
    <w:nsid w:val="57A17B4B"/>
    <w:multiLevelType w:val="multilevel"/>
    <w:tmpl w:val="57A17B4B"/>
    <w:lvl w:ilvl="0" w:tentative="0">
      <w:start w:val="1"/>
      <w:numFmt w:val="decimal"/>
      <w:suff w:val="nothing"/>
      <w:lvlText w:val="%1."/>
      <w:lvlJc w:val="left"/>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3">
    <w:nsid w:val="57A17C14"/>
    <w:multiLevelType w:val="singleLevel"/>
    <w:tmpl w:val="57A17C14"/>
    <w:lvl w:ilvl="0" w:tentative="0">
      <w:start w:val="1"/>
      <w:numFmt w:val="decimal"/>
      <w:suff w:val="nothing"/>
      <w:lvlText w:val="%1."/>
      <w:lvlJc w:val="left"/>
    </w:lvl>
  </w:abstractNum>
  <w:abstractNum w:abstractNumId="4">
    <w:nsid w:val="57A17DA2"/>
    <w:multiLevelType w:val="singleLevel"/>
    <w:tmpl w:val="57A17DA2"/>
    <w:lvl w:ilvl="0" w:tentative="0">
      <w:start w:val="1"/>
      <w:numFmt w:val="decimal"/>
      <w:suff w:val="nothing"/>
      <w:lvlText w:val="%1."/>
      <w:lvlJc w:val="left"/>
    </w:lvl>
  </w:abstractNum>
  <w:abstractNum w:abstractNumId="5">
    <w:nsid w:val="57A17F45"/>
    <w:multiLevelType w:val="singleLevel"/>
    <w:tmpl w:val="57A17F45"/>
    <w:lvl w:ilvl="0" w:tentative="0">
      <w:start w:val="1"/>
      <w:numFmt w:val="decimal"/>
      <w:suff w:val="nothing"/>
      <w:lvlText w:val="%1."/>
      <w:lvlJc w:val="left"/>
    </w:lvl>
  </w:abstractNum>
  <w:abstractNum w:abstractNumId="6">
    <w:nsid w:val="57A1805D"/>
    <w:multiLevelType w:val="singleLevel"/>
    <w:tmpl w:val="57A1805D"/>
    <w:lvl w:ilvl="0" w:tentative="0">
      <w:start w:val="1"/>
      <w:numFmt w:val="decimal"/>
      <w:suff w:val="nothing"/>
      <w:lvlText w:val="%1."/>
      <w:lvlJc w:val="left"/>
    </w:lvl>
  </w:abstractNum>
  <w:abstractNum w:abstractNumId="7">
    <w:nsid w:val="57A1A50E"/>
    <w:multiLevelType w:val="singleLevel"/>
    <w:tmpl w:val="57A1A50E"/>
    <w:lvl w:ilvl="0" w:tentative="0">
      <w:start w:val="3"/>
      <w:numFmt w:val="decimal"/>
      <w:suff w:val="space"/>
      <w:lvlText w:val="%1."/>
      <w:lvlJc w:val="left"/>
    </w:lvl>
  </w:abstractNum>
  <w:abstractNum w:abstractNumId="8">
    <w:nsid w:val="699134FD"/>
    <w:multiLevelType w:val="multilevel"/>
    <w:tmpl w:val="699134FD"/>
    <w:lvl w:ilvl="0" w:tentative="0">
      <w:start w:val="1"/>
      <w:numFmt w:val="decimal"/>
      <w:lvlText w:val="%1."/>
      <w:lvlJc w:val="left"/>
      <w:pPr>
        <w:ind w:left="802" w:hanging="420"/>
      </w:pPr>
    </w:lvl>
    <w:lvl w:ilvl="1" w:tentative="0">
      <w:start w:val="1"/>
      <w:numFmt w:val="lowerLetter"/>
      <w:lvlText w:val="%2)"/>
      <w:lvlJc w:val="left"/>
      <w:pPr>
        <w:ind w:left="1222" w:hanging="420"/>
      </w:pPr>
    </w:lvl>
    <w:lvl w:ilvl="2" w:tentative="0">
      <w:start w:val="1"/>
      <w:numFmt w:val="lowerRoman"/>
      <w:lvlText w:val="%3."/>
      <w:lvlJc w:val="right"/>
      <w:pPr>
        <w:ind w:left="1642" w:hanging="420"/>
      </w:pPr>
    </w:lvl>
    <w:lvl w:ilvl="3" w:tentative="0">
      <w:start w:val="1"/>
      <w:numFmt w:val="decimal"/>
      <w:lvlText w:val="%4."/>
      <w:lvlJc w:val="left"/>
      <w:pPr>
        <w:ind w:left="2062" w:hanging="420"/>
      </w:pPr>
    </w:lvl>
    <w:lvl w:ilvl="4" w:tentative="0">
      <w:start w:val="1"/>
      <w:numFmt w:val="lowerLetter"/>
      <w:lvlText w:val="%5)"/>
      <w:lvlJc w:val="left"/>
      <w:pPr>
        <w:ind w:left="2482" w:hanging="420"/>
      </w:pPr>
    </w:lvl>
    <w:lvl w:ilvl="5" w:tentative="0">
      <w:start w:val="1"/>
      <w:numFmt w:val="lowerRoman"/>
      <w:lvlText w:val="%6."/>
      <w:lvlJc w:val="right"/>
      <w:pPr>
        <w:ind w:left="2902" w:hanging="420"/>
      </w:pPr>
    </w:lvl>
    <w:lvl w:ilvl="6" w:tentative="0">
      <w:start w:val="1"/>
      <w:numFmt w:val="decimal"/>
      <w:lvlText w:val="%7."/>
      <w:lvlJc w:val="left"/>
      <w:pPr>
        <w:ind w:left="3322" w:hanging="420"/>
      </w:pPr>
    </w:lvl>
    <w:lvl w:ilvl="7" w:tentative="0">
      <w:start w:val="1"/>
      <w:numFmt w:val="lowerLetter"/>
      <w:lvlText w:val="%8)"/>
      <w:lvlJc w:val="left"/>
      <w:pPr>
        <w:ind w:left="3742" w:hanging="420"/>
      </w:pPr>
    </w:lvl>
    <w:lvl w:ilvl="8" w:tentative="0">
      <w:start w:val="1"/>
      <w:numFmt w:val="lowerRoman"/>
      <w:lvlText w:val="%9."/>
      <w:lvlJc w:val="right"/>
      <w:pPr>
        <w:ind w:left="4162" w:hanging="420"/>
      </w:pPr>
    </w:lvl>
  </w:abstractNum>
  <w:num w:numId="1">
    <w:abstractNumId w:val="0"/>
  </w:num>
  <w:num w:numId="2">
    <w:abstractNumId w:val="7"/>
  </w:num>
  <w:num w:numId="3">
    <w:abstractNumId w:val="1"/>
  </w:num>
  <w:num w:numId="4">
    <w:abstractNumId w:val="4"/>
  </w:num>
  <w:num w:numId="5">
    <w:abstractNumId w:val="6"/>
  </w:num>
  <w:num w:numId="6">
    <w:abstractNumId w:val="5"/>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96"/>
  <w:drawingGridVerticalSpacing w:val="455"/>
  <w:displayHorizont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rsids>
    <w:rsidRoot w:val="003962A0"/>
    <w:rsid w:val="00014EEA"/>
    <w:rsid w:val="00021BFF"/>
    <w:rsid w:val="000253D4"/>
    <w:rsid w:val="000654CC"/>
    <w:rsid w:val="00065C05"/>
    <w:rsid w:val="000806A5"/>
    <w:rsid w:val="000C347A"/>
    <w:rsid w:val="000E39FE"/>
    <w:rsid w:val="000E6597"/>
    <w:rsid w:val="0013768B"/>
    <w:rsid w:val="001403A5"/>
    <w:rsid w:val="00182F41"/>
    <w:rsid w:val="00244617"/>
    <w:rsid w:val="00277ABC"/>
    <w:rsid w:val="0028559C"/>
    <w:rsid w:val="00306D3A"/>
    <w:rsid w:val="00384976"/>
    <w:rsid w:val="003962A0"/>
    <w:rsid w:val="003E313B"/>
    <w:rsid w:val="0041036B"/>
    <w:rsid w:val="0044749A"/>
    <w:rsid w:val="004E7C38"/>
    <w:rsid w:val="00502DE0"/>
    <w:rsid w:val="00555AAB"/>
    <w:rsid w:val="00607008"/>
    <w:rsid w:val="00625036"/>
    <w:rsid w:val="00675956"/>
    <w:rsid w:val="00681CA9"/>
    <w:rsid w:val="007245C7"/>
    <w:rsid w:val="00730C54"/>
    <w:rsid w:val="00746308"/>
    <w:rsid w:val="00776355"/>
    <w:rsid w:val="00831A55"/>
    <w:rsid w:val="0083235F"/>
    <w:rsid w:val="00852C8D"/>
    <w:rsid w:val="008772DE"/>
    <w:rsid w:val="008A6AE2"/>
    <w:rsid w:val="00AA1199"/>
    <w:rsid w:val="00AA5CE5"/>
    <w:rsid w:val="00AB1046"/>
    <w:rsid w:val="00B10724"/>
    <w:rsid w:val="00B20073"/>
    <w:rsid w:val="00C60E9B"/>
    <w:rsid w:val="00D606DA"/>
    <w:rsid w:val="00DC6353"/>
    <w:rsid w:val="00DF74D0"/>
    <w:rsid w:val="00E3341E"/>
    <w:rsid w:val="00E5593B"/>
    <w:rsid w:val="00E66846"/>
    <w:rsid w:val="00E75829"/>
    <w:rsid w:val="00E92762"/>
    <w:rsid w:val="00EC793C"/>
    <w:rsid w:val="0FAD6545"/>
    <w:rsid w:val="1ACE7E4F"/>
    <w:rsid w:val="29B53FFD"/>
    <w:rsid w:val="381F40A2"/>
    <w:rsid w:val="4B7E09D5"/>
    <w:rsid w:val="59A92BA5"/>
    <w:rsid w:val="5FE50461"/>
    <w:rsid w:val="68E40F73"/>
    <w:rsid w:val="7762556B"/>
    <w:rsid w:val="79604726"/>
    <w:rsid w:val="B9D711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keepNext/>
      <w:keepLines/>
      <w:spacing w:before="340" w:after="330" w:line="578" w:lineRule="auto"/>
      <w:outlineLvl w:val="0"/>
    </w:pPr>
    <w:rPr>
      <w:b/>
      <w:bCs/>
      <w:kern w:val="44"/>
      <w:sz w:val="44"/>
      <w:szCs w:val="44"/>
    </w:rPr>
  </w:style>
  <w:style w:type="paragraph" w:styleId="3">
    <w:name w:val="heading 3"/>
    <w:basedOn w:val="1"/>
    <w:next w:val="1"/>
    <w:link w:val="15"/>
    <w:qFormat/>
    <w:uiPriority w:val="0"/>
    <w:pPr>
      <w:keepNext/>
      <w:keepLines/>
      <w:spacing w:before="260" w:after="260" w:line="416" w:lineRule="auto"/>
      <w:outlineLvl w:val="2"/>
    </w:pPr>
    <w:rPr>
      <w:rFonts w:ascii="Calibri" w:hAnsi="Calibri"/>
      <w:b/>
      <w:bCs/>
      <w:sz w:val="32"/>
      <w:szCs w:val="32"/>
    </w:rPr>
  </w:style>
  <w:style w:type="character" w:default="1" w:styleId="11">
    <w:name w:val="Default Paragraph Font"/>
    <w:semiHidden/>
    <w:unhideWhenUsed/>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4">
    <w:name w:val="Normal Indent"/>
    <w:basedOn w:val="1"/>
    <w:unhideWhenUsed/>
    <w:uiPriority w:val="0"/>
    <w:pPr>
      <w:ind w:left="175" w:leftChars="175" w:firstLine="420"/>
    </w:pPr>
    <w:rPr>
      <w:sz w:val="24"/>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widowControl/>
      <w:spacing w:before="100" w:beforeAutospacing="1" w:after="100" w:afterAutospacing="1"/>
      <w:jc w:val="left"/>
    </w:pPr>
    <w:rPr>
      <w:rFonts w:ascii="宋体" w:hAnsi="宋体" w:cs="宋体"/>
      <w:kern w:val="0"/>
      <w:sz w:val="24"/>
    </w:rPr>
  </w:style>
  <w:style w:type="paragraph" w:styleId="8">
    <w:name w:val="index 1"/>
    <w:basedOn w:val="1"/>
    <w:next w:val="1"/>
    <w:unhideWhenUsed/>
    <w:uiPriority w:val="0"/>
    <w:pPr>
      <w:jc w:val="center"/>
    </w:pPr>
    <w:rPr>
      <w:szCs w:val="20"/>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2">
    <w:name w:val="Hyperlink"/>
    <w:unhideWhenUsed/>
    <w:qFormat/>
    <w:uiPriority w:val="99"/>
    <w:rPr>
      <w:color w:val="0000FF"/>
      <w:u w:val="single"/>
    </w:rPr>
  </w:style>
  <w:style w:type="character" w:customStyle="1" w:styleId="13">
    <w:name w:val="页眉 Char"/>
    <w:basedOn w:val="11"/>
    <w:link w:val="6"/>
    <w:qFormat/>
    <w:uiPriority w:val="0"/>
    <w:rPr>
      <w:kern w:val="2"/>
      <w:sz w:val="18"/>
      <w:szCs w:val="18"/>
    </w:rPr>
  </w:style>
  <w:style w:type="character" w:customStyle="1" w:styleId="14">
    <w:name w:val="页脚 Char"/>
    <w:basedOn w:val="11"/>
    <w:link w:val="5"/>
    <w:qFormat/>
    <w:uiPriority w:val="0"/>
    <w:rPr>
      <w:kern w:val="2"/>
      <w:sz w:val="18"/>
      <w:szCs w:val="18"/>
    </w:rPr>
  </w:style>
  <w:style w:type="character" w:customStyle="1" w:styleId="15">
    <w:name w:val="标题 3 Char"/>
    <w:basedOn w:val="11"/>
    <w:link w:val="3"/>
    <w:semiHidden/>
    <w:qFormat/>
    <w:uiPriority w:val="0"/>
    <w:rPr>
      <w:rFonts w:ascii="Calibri" w:hAnsi="Calibri" w:eastAsia="宋体"/>
      <w:b/>
      <w:bCs/>
      <w:kern w:val="2"/>
      <w:sz w:val="32"/>
      <w:szCs w:val="32"/>
      <w:lang w:val="en-US" w:eastAsia="zh-CN" w:bidi="ar-SA"/>
    </w:rPr>
  </w:style>
  <w:style w:type="paragraph" w:customStyle="1" w:styleId="16">
    <w:name w:val="Default"/>
    <w:unhideWhenUsed/>
    <w:qFormat/>
    <w:uiPriority w:val="0"/>
    <w:pPr>
      <w:widowControl w:val="0"/>
      <w:autoSpaceDE w:val="0"/>
      <w:autoSpaceDN w:val="0"/>
      <w:adjustRightInd w:val="0"/>
    </w:pPr>
    <w:rPr>
      <w:rFonts w:hint="eastAsia" w:ascii="微软雅黑" w:hAnsi="Calibri" w:eastAsia="微软雅黑" w:cs="Times New Roman"/>
      <w:color w:val="000000"/>
      <w:sz w:val="24"/>
      <w:lang w:val="en-US" w:eastAsia="zh-CN" w:bidi="ar-SA"/>
    </w:rPr>
  </w:style>
  <w:style w:type="character" w:customStyle="1" w:styleId="17">
    <w:name w:val="标题 1 Char"/>
    <w:basedOn w:val="11"/>
    <w:link w:val="2"/>
    <w:qFormat/>
    <w:uiPriority w:val="0"/>
    <w:rPr>
      <w:b/>
      <w:bCs/>
      <w:kern w:val="44"/>
      <w:sz w:val="44"/>
      <w:szCs w:val="44"/>
    </w:rPr>
  </w:style>
  <w:style w:type="paragraph" w:customStyle="1" w:styleId="18">
    <w:name w:val="列出段落1"/>
    <w:basedOn w:val="1"/>
    <w:qFormat/>
    <w:uiPriority w:val="34"/>
    <w:pPr>
      <w:ind w:firstLine="420" w:firstLineChars="200"/>
    </w:pPr>
    <w:rPr>
      <w:rFonts w:asciiTheme="minorHAnsi" w:hAnsiTheme="minorHAnsi" w:eastAsiaTheme="minorEastAsia" w:cstheme="minorBidi"/>
    </w:rPr>
  </w:style>
  <w:style w:type="paragraph" w:customStyle="1" w:styleId="19">
    <w:name w:val="列出段落2"/>
    <w:basedOn w:val="1"/>
    <w:unhideWhenUsed/>
    <w:qFormat/>
    <w:uiPriority w:val="99"/>
    <w:pPr>
      <w:ind w:firstLine="420" w:firstLineChars="200"/>
    </w:pPr>
    <w:rPr>
      <w:rFonts w:asciiTheme="minorHAnsi" w:hAnsiTheme="minorHAnsi" w:eastAsiaTheme="minorEastAsia" w:cstheme="minorBidi"/>
    </w:rPr>
  </w:style>
  <w:style w:type="paragraph" w:styleId="20">
    <w:name w:val="List Paragraph"/>
    <w:basedOn w:val="1"/>
    <w:unhideWhenUsed/>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409</Words>
  <Characters>2334</Characters>
  <Lines>19</Lines>
  <Paragraphs>5</Paragraphs>
  <TotalTime>1</TotalTime>
  <ScaleCrop>false</ScaleCrop>
  <LinksUpToDate>false</LinksUpToDate>
  <CharactersWithSpaces>2738</CharactersWithSpaces>
  <Application>WPS Office_11.1.0.8597_F1E327BC-269C-435d-A152-05C5408002CA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2019-07-17T09:14:00Z</dcterms:created>
  <dc:creator>SKYFREE</dc:creator>
  <cp:lastModifiedBy>lenovo</cp:lastModifiedBy>
  <cp:lastPrinted>2016-03-03T14:40:00Z</cp:lastPrinted>
  <dcterms:modified xsi:type="dcterms:W3CDTF">2019-07-26T08:38:49Z</dcterms:modified>
  <dc:title>防统方软件技术参数基本要求：</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