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9" w:lineRule="exac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附件：1</w:t>
      </w:r>
    </w:p>
    <w:p>
      <w:pPr>
        <w:spacing w:line="579" w:lineRule="exact"/>
        <w:rPr>
          <w:rFonts w:hint="eastAsia" w:ascii="仿宋" w:hAnsi="仿宋" w:eastAsia="仿宋" w:cs="仿宋"/>
          <w:sz w:val="32"/>
          <w:szCs w:val="32"/>
          <w:lang w:val="en-US" w:eastAsia="zh-CN"/>
        </w:rPr>
      </w:pPr>
    </w:p>
    <w:p>
      <w:pPr>
        <w:spacing w:line="579" w:lineRule="exact"/>
        <w:rPr>
          <w:rFonts w:hint="eastAsia" w:ascii="仿宋" w:hAnsi="仿宋" w:eastAsia="仿宋" w:cs="仿宋"/>
          <w:sz w:val="32"/>
          <w:szCs w:val="32"/>
          <w:lang w:val="en-US" w:eastAsia="zh-CN"/>
        </w:rPr>
      </w:pPr>
      <w:bookmarkStart w:id="1" w:name="_GoBack"/>
      <w:bookmarkEnd w:id="1"/>
    </w:p>
    <w:p>
      <w:pPr>
        <w:spacing w:line="700" w:lineRule="exact"/>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关于污水处理站</w:t>
      </w:r>
      <w:r>
        <w:rPr>
          <w:rFonts w:hint="eastAsia" w:ascii="方正小标宋简体" w:hAnsi="方正小标宋简体" w:eastAsia="方正小标宋简体" w:cs="方正小标宋简体"/>
          <w:sz w:val="36"/>
          <w:szCs w:val="36"/>
          <w:lang w:val="en-US" w:eastAsia="zh-CN"/>
        </w:rPr>
        <w:t>工艺、设备以及在线监测</w:t>
      </w:r>
      <w:r>
        <w:rPr>
          <w:rFonts w:hint="eastAsia" w:ascii="方正小标宋简体" w:hAnsi="方正小标宋简体" w:eastAsia="方正小标宋简体" w:cs="方正小标宋简体"/>
          <w:sz w:val="36"/>
          <w:szCs w:val="36"/>
        </w:rPr>
        <w:t>设备</w:t>
      </w:r>
    </w:p>
    <w:p>
      <w:pPr>
        <w:spacing w:line="700" w:lineRule="exact"/>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rPr>
        <w:t>维保服务</w:t>
      </w:r>
      <w:r>
        <w:rPr>
          <w:rFonts w:hint="eastAsia" w:ascii="方正小标宋简体" w:hAnsi="方正小标宋简体" w:eastAsia="方正小标宋简体" w:cs="方正小标宋简体"/>
          <w:sz w:val="36"/>
          <w:szCs w:val="36"/>
          <w:lang w:val="en-US" w:eastAsia="zh-CN"/>
        </w:rPr>
        <w:t>要求</w:t>
      </w:r>
    </w:p>
    <w:p>
      <w:pPr>
        <w:jc w:val="left"/>
        <w:rPr>
          <w:rFonts w:ascii="仿宋_GB2312" w:hAnsi="仿宋_GB2312" w:eastAsia="仿宋_GB2312" w:cs="仿宋_GB2312"/>
          <w:sz w:val="32"/>
          <w:szCs w:val="32"/>
        </w:rPr>
      </w:pPr>
    </w:p>
    <w:p>
      <w:pPr>
        <w:spacing w:line="500" w:lineRule="exact"/>
        <w:jc w:val="left"/>
        <w:rPr>
          <w:rFonts w:hint="eastAsia" w:asciiTheme="minorEastAsia" w:hAnsiTheme="minorEastAsia" w:eastAsiaTheme="minorEastAsia" w:cstheme="minorEastAsia"/>
          <w:color w:val="000000"/>
          <w:sz w:val="28"/>
          <w:szCs w:val="28"/>
          <w:lang w:val="en-US" w:eastAsia="zh-CN"/>
        </w:rPr>
      </w:pPr>
      <w:r>
        <w:rPr>
          <w:rFonts w:hint="eastAsia" w:asciiTheme="minorEastAsia" w:hAnsiTheme="minorEastAsia" w:eastAsiaTheme="minorEastAsia" w:cstheme="minorEastAsia"/>
          <w:color w:val="000000"/>
          <w:sz w:val="28"/>
          <w:szCs w:val="28"/>
        </w:rPr>
        <w:t>一、</w:t>
      </w:r>
      <w:r>
        <w:rPr>
          <w:rFonts w:hint="eastAsia" w:asciiTheme="minorEastAsia" w:hAnsiTheme="minorEastAsia" w:eastAsiaTheme="minorEastAsia" w:cstheme="minorEastAsia"/>
          <w:color w:val="000000"/>
          <w:sz w:val="28"/>
          <w:szCs w:val="28"/>
          <w:lang w:val="en-US" w:eastAsia="zh-CN"/>
        </w:rPr>
        <w:t>在线设备服务要求</w:t>
      </w:r>
    </w:p>
    <w:p>
      <w:pPr>
        <w:pStyle w:val="9"/>
        <w:adjustRightInd w:val="0"/>
        <w:snapToGrid w:val="0"/>
        <w:spacing w:line="500" w:lineRule="exact"/>
        <w:jc w:val="lef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w:t>
      </w:r>
      <w:r>
        <w:rPr>
          <w:rFonts w:hint="eastAsia"/>
          <w:color w:val="000000"/>
          <w:sz w:val="28"/>
          <w:szCs w:val="28"/>
          <w:lang w:val="en-US" w:eastAsia="zh-CN"/>
        </w:rPr>
        <w:t>至少安排一名技术人员驻场，24小时值守。</w:t>
      </w:r>
      <w:r>
        <w:rPr>
          <w:rFonts w:hint="eastAsia" w:asciiTheme="minorEastAsia" w:hAnsiTheme="minorEastAsia" w:eastAsiaTheme="minorEastAsia" w:cstheme="minorEastAsia"/>
          <w:color w:val="000000"/>
          <w:sz w:val="28"/>
          <w:szCs w:val="28"/>
        </w:rPr>
        <w:t>负责</w:t>
      </w:r>
      <w:r>
        <w:rPr>
          <w:rFonts w:hint="eastAsia" w:asciiTheme="minorEastAsia" w:hAnsiTheme="minorEastAsia" w:eastAsiaTheme="minorEastAsia" w:cstheme="minorEastAsia"/>
          <w:color w:val="000000"/>
          <w:sz w:val="28"/>
          <w:szCs w:val="28"/>
          <w:lang w:val="en-US" w:eastAsia="zh-CN"/>
        </w:rPr>
        <w:t>东西区</w:t>
      </w:r>
      <w:r>
        <w:rPr>
          <w:rFonts w:hint="eastAsia" w:asciiTheme="minorEastAsia" w:hAnsiTheme="minorEastAsia" w:eastAsiaTheme="minorEastAsia" w:cstheme="minorEastAsia"/>
          <w:color w:val="000000"/>
          <w:sz w:val="28"/>
          <w:szCs w:val="28"/>
        </w:rPr>
        <w:t>在线监测系统的正常运行（</w:t>
      </w:r>
      <w:r>
        <w:rPr>
          <w:rFonts w:hint="eastAsia" w:asciiTheme="minorEastAsia" w:hAnsiTheme="minorEastAsia" w:eastAsiaTheme="minorEastAsia" w:cstheme="minorEastAsia"/>
          <w:color w:val="000000"/>
          <w:sz w:val="28"/>
          <w:szCs w:val="28"/>
          <w:lang w:val="en-US" w:eastAsia="zh-CN"/>
        </w:rPr>
        <w:t>西区在线设备：</w:t>
      </w:r>
      <w:r>
        <w:rPr>
          <w:rFonts w:hint="eastAsia" w:asciiTheme="minorEastAsia" w:hAnsiTheme="minorEastAsia" w:eastAsiaTheme="minorEastAsia" w:cstheme="minorEastAsia"/>
          <w:kern w:val="0"/>
          <w:sz w:val="28"/>
          <w:szCs w:val="28"/>
        </w:rPr>
        <w:t>COD</w:t>
      </w:r>
      <w:r>
        <w:rPr>
          <w:rFonts w:hint="eastAsia" w:asciiTheme="minorEastAsia" w:hAnsiTheme="minorEastAsia" w:eastAsiaTheme="minorEastAsia" w:cstheme="minorEastAsia"/>
          <w:kern w:val="0"/>
          <w:sz w:val="28"/>
          <w:szCs w:val="28"/>
          <w:lang w:val="en-US" w:eastAsia="zh-CN"/>
        </w:rPr>
        <w:t>cr</w:t>
      </w:r>
      <w:r>
        <w:rPr>
          <w:rFonts w:hint="eastAsia" w:asciiTheme="minorEastAsia" w:hAnsiTheme="minorEastAsia" w:eastAsiaTheme="minorEastAsia" w:cstheme="minorEastAsia"/>
          <w:kern w:val="0"/>
          <w:sz w:val="28"/>
          <w:szCs w:val="28"/>
        </w:rPr>
        <w:t>在线监测仪、氨氮在线监测仪、PH在线监测仪、余氯在线监测仪、</w:t>
      </w:r>
      <w:r>
        <w:rPr>
          <w:rFonts w:hint="eastAsia" w:asciiTheme="minorEastAsia" w:hAnsiTheme="minorEastAsia" w:eastAsiaTheme="minorEastAsia" w:cstheme="minorEastAsia"/>
          <w:kern w:val="0"/>
          <w:sz w:val="28"/>
          <w:szCs w:val="28"/>
          <w:lang w:val="en-US" w:eastAsia="zh-CN"/>
        </w:rPr>
        <w:t>流量计、</w:t>
      </w:r>
      <w:r>
        <w:rPr>
          <w:rFonts w:hint="eastAsia" w:asciiTheme="minorEastAsia" w:hAnsiTheme="minorEastAsia" w:eastAsiaTheme="minorEastAsia" w:cstheme="minorEastAsia"/>
          <w:kern w:val="0"/>
          <w:sz w:val="28"/>
          <w:szCs w:val="28"/>
        </w:rPr>
        <w:t>采样器、</w:t>
      </w:r>
      <w:r>
        <w:rPr>
          <w:rFonts w:hint="eastAsia" w:asciiTheme="minorEastAsia" w:hAnsiTheme="minorEastAsia" w:eastAsiaTheme="minorEastAsia" w:cstheme="minorEastAsia"/>
          <w:kern w:val="0"/>
          <w:sz w:val="28"/>
          <w:szCs w:val="28"/>
          <w:lang w:val="en-US" w:eastAsia="zh-CN"/>
        </w:rPr>
        <w:t>数采仪</w:t>
      </w:r>
      <w:r>
        <w:rPr>
          <w:rFonts w:hint="eastAsia" w:asciiTheme="minorEastAsia" w:hAnsiTheme="minorEastAsia" w:eastAsiaTheme="minorEastAsia" w:cstheme="minorEastAsia"/>
          <w:kern w:val="0"/>
          <w:sz w:val="28"/>
          <w:szCs w:val="28"/>
        </w:rPr>
        <w:t>及配套采样系统（包括采样泵、管路等）</w:t>
      </w:r>
      <w:r>
        <w:rPr>
          <w:rFonts w:hint="eastAsia" w:asciiTheme="minorEastAsia" w:hAnsiTheme="minorEastAsia" w:eastAsiaTheme="minorEastAsia" w:cstheme="minorEastAsia"/>
          <w:kern w:val="0"/>
          <w:sz w:val="28"/>
          <w:szCs w:val="28"/>
          <w:lang w:eastAsia="zh-CN"/>
        </w:rPr>
        <w:t>；</w:t>
      </w:r>
      <w:r>
        <w:rPr>
          <w:rFonts w:hint="eastAsia" w:asciiTheme="minorEastAsia" w:hAnsiTheme="minorEastAsia" w:eastAsiaTheme="minorEastAsia" w:cstheme="minorEastAsia"/>
          <w:kern w:val="0"/>
          <w:sz w:val="28"/>
          <w:szCs w:val="28"/>
          <w:lang w:val="en-US" w:eastAsia="zh-CN"/>
        </w:rPr>
        <w:t>东区在线设备：</w:t>
      </w:r>
      <w:r>
        <w:rPr>
          <w:rFonts w:hint="eastAsia" w:asciiTheme="minorEastAsia" w:hAnsiTheme="minorEastAsia" w:eastAsiaTheme="minorEastAsia" w:cstheme="minorEastAsia"/>
          <w:kern w:val="0"/>
          <w:sz w:val="28"/>
          <w:szCs w:val="28"/>
        </w:rPr>
        <w:t>余氯在线监测仪、</w:t>
      </w:r>
      <w:r>
        <w:rPr>
          <w:rFonts w:hint="eastAsia" w:asciiTheme="minorEastAsia" w:hAnsiTheme="minorEastAsia" w:eastAsiaTheme="minorEastAsia" w:cstheme="minorEastAsia"/>
          <w:kern w:val="0"/>
          <w:sz w:val="28"/>
          <w:szCs w:val="28"/>
          <w:lang w:val="en-US" w:eastAsia="zh-CN"/>
        </w:rPr>
        <w:t>流量计、</w:t>
      </w:r>
      <w:r>
        <w:rPr>
          <w:rFonts w:hint="eastAsia" w:asciiTheme="minorEastAsia" w:hAnsiTheme="minorEastAsia" w:eastAsiaTheme="minorEastAsia" w:cstheme="minorEastAsia"/>
          <w:kern w:val="0"/>
          <w:sz w:val="28"/>
          <w:szCs w:val="28"/>
        </w:rPr>
        <w:t>PH在线监测仪的运行维护服务</w:t>
      </w:r>
      <w:r>
        <w:rPr>
          <w:rFonts w:hint="eastAsia" w:asciiTheme="minorEastAsia" w:hAnsiTheme="minorEastAsia" w:eastAsiaTheme="minorEastAsia" w:cstheme="minorEastAsia"/>
          <w:color w:val="000000"/>
          <w:sz w:val="28"/>
          <w:szCs w:val="28"/>
        </w:rPr>
        <w:t>。</w:t>
      </w:r>
    </w:p>
    <w:p>
      <w:pPr>
        <w:pStyle w:val="9"/>
        <w:adjustRightInd w:val="0"/>
        <w:snapToGrid w:val="0"/>
        <w:spacing w:line="500" w:lineRule="exact"/>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z w:val="28"/>
          <w:szCs w:val="28"/>
        </w:rPr>
        <w:t>2.对数据传输系统进行管理维护服务，若为仪表自身出现问题，应及时处理并按相关流程要求配合我院上报环保部门</w:t>
      </w:r>
      <w:r>
        <w:rPr>
          <w:rFonts w:hint="eastAsia" w:asciiTheme="minorEastAsia" w:hAnsiTheme="minorEastAsia" w:eastAsiaTheme="minorEastAsia" w:cstheme="minorEastAsia"/>
          <w:sz w:val="28"/>
          <w:szCs w:val="28"/>
        </w:rPr>
        <w:t>。</w:t>
      </w:r>
    </w:p>
    <w:p>
      <w:pPr>
        <w:pStyle w:val="9"/>
        <w:adjustRightInd w:val="0"/>
        <w:snapToGrid w:val="0"/>
        <w:spacing w:line="440" w:lineRule="exact"/>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color w:val="000000"/>
          <w:sz w:val="28"/>
          <w:szCs w:val="28"/>
        </w:rPr>
        <w:t>3.</w:t>
      </w:r>
      <w:r>
        <w:rPr>
          <w:rFonts w:hint="eastAsia" w:asciiTheme="minorEastAsia" w:hAnsiTheme="minorEastAsia" w:eastAsiaTheme="minorEastAsia" w:cstheme="minorEastAsia"/>
          <w:kern w:val="0"/>
          <w:sz w:val="28"/>
          <w:szCs w:val="28"/>
        </w:rPr>
        <w:t>保证上传至环保部门平台的数据传输率达到环保要求。（若因停电或非我院导致的数据不能正常上传除外）。</w:t>
      </w:r>
    </w:p>
    <w:p>
      <w:pPr>
        <w:pStyle w:val="9"/>
        <w:adjustRightInd w:val="0"/>
        <w:snapToGrid w:val="0"/>
        <w:spacing w:line="500" w:lineRule="exact"/>
        <w:jc w:val="lef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4.确保数据传输系统的传输值及仪表所显示的监测值偏差小于1‰，将进水CODcr、氨氮、PH、流量、余氯，共计5组</w:t>
      </w:r>
      <w:r>
        <w:rPr>
          <w:rFonts w:hint="eastAsia" w:asciiTheme="minorEastAsia" w:hAnsiTheme="minorEastAsia" w:eastAsiaTheme="minorEastAsia" w:cstheme="minorEastAsia"/>
          <w:sz w:val="28"/>
          <w:szCs w:val="28"/>
        </w:rPr>
        <w:t>数据实时在线数据传输到环保部门，数采仪采用有线网络传输。</w:t>
      </w:r>
    </w:p>
    <w:p>
      <w:pPr>
        <w:pStyle w:val="9"/>
        <w:adjustRightInd w:val="0"/>
        <w:snapToGrid w:val="0"/>
        <w:spacing w:line="500" w:lineRule="exact"/>
        <w:jc w:val="lef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5.</w:t>
      </w:r>
      <w:r>
        <w:rPr>
          <w:rFonts w:hint="eastAsia" w:asciiTheme="minorEastAsia" w:hAnsiTheme="minorEastAsia" w:eastAsiaTheme="minorEastAsia" w:cstheme="minorEastAsia"/>
          <w:color w:val="000000" w:themeColor="text1"/>
          <w:sz w:val="28"/>
          <w:szCs w:val="28"/>
          <w14:textFill>
            <w14:solidFill>
              <w14:schemeClr w14:val="tx1"/>
            </w14:solidFill>
          </w14:textFill>
        </w:rPr>
        <w:t>仪表校准每月1次，仪表实际水标样比对每月1次，每周对仪表进行质控样考核，且需满足质控要求。质控样考核结果满足水污染源在线监测系统（COD</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c</w:t>
      </w:r>
      <w:r>
        <w:rPr>
          <w:rFonts w:hint="eastAsia" w:asciiTheme="minorEastAsia" w:hAnsiTheme="minorEastAsia" w:eastAsiaTheme="minorEastAsia" w:cstheme="minorEastAsia"/>
          <w:color w:val="000000" w:themeColor="text1"/>
          <w:sz w:val="28"/>
          <w:szCs w:val="28"/>
          <w14:textFill>
            <w14:solidFill>
              <w14:schemeClr w14:val="tx1"/>
            </w14:solidFill>
          </w14:textFill>
        </w:rPr>
        <w:t>r、NH3-N 等）验收技术规范（HJ 354-2019代替 HJ_T 354-2007）。若在考核及比对过程中仪表不满足要求，立即对仪表进行整改，直至</w:t>
      </w:r>
      <w:r>
        <w:rPr>
          <w:rFonts w:hint="eastAsia" w:asciiTheme="minorEastAsia" w:hAnsiTheme="minorEastAsia" w:eastAsiaTheme="minorEastAsia" w:cstheme="minorEastAsia"/>
          <w:color w:val="000000"/>
          <w:sz w:val="28"/>
          <w:szCs w:val="28"/>
        </w:rPr>
        <w:t>达到上述要求</w:t>
      </w:r>
      <w:r>
        <w:rPr>
          <w:rFonts w:hint="eastAsia" w:asciiTheme="minorEastAsia" w:hAnsiTheme="minorEastAsia" w:eastAsiaTheme="minorEastAsia" w:cstheme="minorEastAsia"/>
          <w:color w:val="000000" w:themeColor="text1"/>
          <w:sz w:val="28"/>
          <w:szCs w:val="28"/>
          <w14:textFill>
            <w14:solidFill>
              <w14:schemeClr w14:val="tx1"/>
            </w14:solidFill>
          </w14:textFill>
        </w:rPr>
        <w:t>；</w:t>
      </w:r>
      <w:r>
        <w:rPr>
          <w:rFonts w:hint="eastAsia" w:asciiTheme="minorEastAsia" w:hAnsiTheme="minorEastAsia" w:eastAsiaTheme="minorEastAsia" w:cstheme="minorEastAsia"/>
          <w:color w:val="000000"/>
          <w:sz w:val="28"/>
          <w:szCs w:val="28"/>
        </w:rPr>
        <w:t>建立完善的运行维护记录台账。</w:t>
      </w:r>
    </w:p>
    <w:p>
      <w:pPr>
        <w:pStyle w:val="9"/>
        <w:adjustRightInd w:val="0"/>
        <w:snapToGrid w:val="0"/>
        <w:spacing w:line="500" w:lineRule="exact"/>
        <w:jc w:val="lef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6.仪表产生的废液维保公司按国家相关部门和环保要求集中收集</w:t>
      </w:r>
      <w:r>
        <w:rPr>
          <w:rFonts w:hint="eastAsia" w:asciiTheme="minorEastAsia" w:hAnsiTheme="minorEastAsia" w:eastAsiaTheme="minorEastAsia" w:cstheme="minorEastAsia"/>
          <w:bCs/>
          <w:sz w:val="28"/>
          <w:szCs w:val="28"/>
        </w:rPr>
        <w:t>，</w:t>
      </w:r>
      <w:r>
        <w:rPr>
          <w:rFonts w:hint="eastAsia" w:asciiTheme="minorEastAsia" w:hAnsiTheme="minorEastAsia" w:eastAsiaTheme="minorEastAsia" w:cstheme="minorEastAsia"/>
          <w:sz w:val="28"/>
          <w:szCs w:val="28"/>
        </w:rPr>
        <w:t>储存至我院指定的危废储存地点，并建立完善的收集台账，废液处置及收集场地由我院负责。</w:t>
      </w:r>
    </w:p>
    <w:p>
      <w:pPr>
        <w:pStyle w:val="9"/>
        <w:adjustRightInd w:val="0"/>
        <w:snapToGrid w:val="0"/>
        <w:spacing w:line="500" w:lineRule="exact"/>
        <w:jc w:val="left"/>
        <w:rPr>
          <w:rFonts w:hint="eastAsia" w:asciiTheme="minorEastAsia" w:hAnsiTheme="minorEastAsia" w:eastAsiaTheme="minorEastAsia" w:cstheme="minorEastAsia"/>
          <w:color w:val="000000"/>
          <w:sz w:val="28"/>
          <w:szCs w:val="28"/>
          <w:lang w:val="en-US" w:eastAsia="zh-CN"/>
        </w:rPr>
      </w:pPr>
      <w:r>
        <w:rPr>
          <w:rFonts w:hint="eastAsia" w:asciiTheme="minorEastAsia" w:hAnsiTheme="minorEastAsia" w:eastAsiaTheme="minorEastAsia" w:cstheme="minorEastAsia"/>
          <w:color w:val="000000"/>
          <w:sz w:val="28"/>
          <w:szCs w:val="28"/>
        </w:rPr>
        <w:t>7.严格按照污染源在线自动检测系统各设备的使用说明书和操作规程操作及维护设备，按维护周期进行维护和耗材更换。</w:t>
      </w:r>
    </w:p>
    <w:p>
      <w:pPr>
        <w:pStyle w:val="9"/>
        <w:adjustRightInd w:val="0"/>
        <w:snapToGrid w:val="0"/>
        <w:spacing w:line="500" w:lineRule="exact"/>
        <w:jc w:val="lef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8.仪表分析所用药剂必须使用该仪器仪表对应品牌和型号的原厂药剂配方。同时定期更换药剂，保证药剂在保质期内，不得因药剂过期未及时更换造成在线监测仪表数据异常。</w:t>
      </w:r>
    </w:p>
    <w:p>
      <w:pPr>
        <w:pStyle w:val="10"/>
        <w:adjustRightInd w:val="0"/>
        <w:snapToGrid w:val="0"/>
        <w:spacing w:line="500" w:lineRule="exact"/>
        <w:jc w:val="lef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9.运维期间，维保公司需保证仪表内管路系统和仪表元器件的清洁，不得因管路系统或仪器仪表的卫生问题影响进行检测的水质，造成在线监测仪表数据异常。</w:t>
      </w:r>
    </w:p>
    <w:p>
      <w:pPr>
        <w:pStyle w:val="9"/>
        <w:adjustRightInd w:val="0"/>
        <w:snapToGrid w:val="0"/>
        <w:spacing w:line="500" w:lineRule="exact"/>
        <w:jc w:val="lef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10.负责配合环保部门对在线系统的例行及临时性比对监测、检查、监督工作，保障在线仪表运行正常，并按要求报送相关监测数据及报表。</w:t>
      </w:r>
    </w:p>
    <w:p>
      <w:pPr>
        <w:pStyle w:val="9"/>
        <w:adjustRightInd w:val="0"/>
        <w:snapToGrid w:val="0"/>
        <w:spacing w:line="500" w:lineRule="exact"/>
        <w:jc w:val="lef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sz w:val="28"/>
          <w:szCs w:val="28"/>
        </w:rPr>
        <w:t>11.</w:t>
      </w:r>
      <w:r>
        <w:rPr>
          <w:rFonts w:hint="eastAsia" w:asciiTheme="minorEastAsia" w:hAnsiTheme="minorEastAsia" w:eastAsiaTheme="minorEastAsia" w:cstheme="minorEastAsia"/>
          <w:kern w:val="0"/>
          <w:sz w:val="28"/>
          <w:szCs w:val="28"/>
        </w:rPr>
        <w:t>负责配合完成在线仪表的强制检定工作，并取得证书</w:t>
      </w:r>
      <w:r>
        <w:rPr>
          <w:rFonts w:hint="eastAsia" w:asciiTheme="minorEastAsia" w:hAnsiTheme="minorEastAsia" w:eastAsiaTheme="minorEastAsia" w:cstheme="minorEastAsia"/>
          <w:color w:val="FF0000"/>
          <w:kern w:val="0"/>
          <w:sz w:val="28"/>
          <w:szCs w:val="28"/>
        </w:rPr>
        <w:t>（</w:t>
      </w:r>
      <w:r>
        <w:rPr>
          <w:rFonts w:hint="eastAsia" w:asciiTheme="minorEastAsia" w:hAnsiTheme="minorEastAsia" w:eastAsiaTheme="minorEastAsia" w:cstheme="minorEastAsia"/>
          <w:color w:val="000000" w:themeColor="text1"/>
          <w:kern w:val="0"/>
          <w:sz w:val="28"/>
          <w:szCs w:val="28"/>
          <w14:textFill>
            <w14:solidFill>
              <w14:schemeClr w14:val="tx1"/>
            </w14:solidFill>
          </w14:textFill>
        </w:rPr>
        <w:t>强制鉴定费由第三方监测机构</w:t>
      </w:r>
      <w:r>
        <w:rPr>
          <w:rFonts w:hint="eastAsia" w:asciiTheme="minorEastAsia" w:hAnsiTheme="minorEastAsia" w:cstheme="minorEastAsia"/>
          <w:color w:val="000000" w:themeColor="text1"/>
          <w:kern w:val="0"/>
          <w:sz w:val="28"/>
          <w:szCs w:val="28"/>
          <w:lang w:val="en-US" w:eastAsia="zh-CN"/>
          <w14:textFill>
            <w14:solidFill>
              <w14:schemeClr w14:val="tx1"/>
            </w14:solidFill>
          </w14:textFill>
        </w:rPr>
        <w:t>支付</w:t>
      </w:r>
      <w:r>
        <w:rPr>
          <w:rFonts w:hint="eastAsia" w:asciiTheme="minorEastAsia" w:hAnsiTheme="minorEastAsia" w:eastAsiaTheme="minorEastAsia" w:cstheme="minorEastAsia"/>
          <w:color w:val="000000" w:themeColor="text1"/>
          <w:kern w:val="0"/>
          <w:sz w:val="28"/>
          <w:szCs w:val="28"/>
          <w14:textFill>
            <w14:solidFill>
              <w14:schemeClr w14:val="tx1"/>
            </w14:solidFill>
          </w14:textFill>
        </w:rPr>
        <w:t>）。</w:t>
      </w:r>
    </w:p>
    <w:p>
      <w:pPr>
        <w:pStyle w:val="9"/>
        <w:adjustRightInd w:val="0"/>
        <w:snapToGrid w:val="0"/>
        <w:spacing w:line="500" w:lineRule="exact"/>
        <w:jc w:val="lef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12.现场服务各项记录完整、规范，并放置整齐。</w:t>
      </w:r>
    </w:p>
    <w:p>
      <w:pPr>
        <w:pStyle w:val="9"/>
        <w:adjustRightInd w:val="0"/>
        <w:snapToGrid w:val="0"/>
        <w:spacing w:line="500" w:lineRule="exact"/>
        <w:jc w:val="lef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sz w:val="28"/>
          <w:szCs w:val="28"/>
        </w:rPr>
        <w:t>13.</w:t>
      </w:r>
      <w:r>
        <w:rPr>
          <w:rFonts w:hint="eastAsia" w:asciiTheme="minorEastAsia" w:hAnsiTheme="minorEastAsia" w:eastAsiaTheme="minorEastAsia" w:cstheme="minorEastAsia"/>
          <w:color w:val="000000"/>
          <w:sz w:val="28"/>
          <w:szCs w:val="28"/>
        </w:rPr>
        <w:t xml:space="preserve"> 本招标文件中如未列举的维护事项，按照《水污染源在线监测系统（CODCr、NH3-N 等）运行技术规范》（HJ 355-2019代替 HJ_T 355-2007）中的运行与日常维护要求负责现场监控仪器日常运行维护管理；</w:t>
      </w:r>
    </w:p>
    <w:p>
      <w:pPr>
        <w:pStyle w:val="9"/>
        <w:adjustRightInd w:val="0"/>
        <w:snapToGrid w:val="0"/>
        <w:spacing w:line="500" w:lineRule="exact"/>
        <w:jc w:val="lef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14．运营维护期间所有配件及耗材损坏或故障均由运维公司免费维修及更换</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包括手工余氯比对药剂</w:t>
      </w: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8"/>
          <w:szCs w:val="28"/>
          <w14:textFill>
            <w14:solidFill>
              <w14:schemeClr w14:val="tx1"/>
            </w14:solidFill>
          </w14:textFill>
        </w:rPr>
        <w:t>。</w:t>
      </w:r>
    </w:p>
    <w:p>
      <w:pPr>
        <w:pStyle w:val="9"/>
        <w:adjustRightInd w:val="0"/>
        <w:snapToGrid w:val="0"/>
        <w:spacing w:line="500" w:lineRule="exact"/>
        <w:jc w:val="left"/>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15.供应商应具备药剂实验室。</w:t>
      </w:r>
    </w:p>
    <w:p>
      <w:pPr>
        <w:pStyle w:val="9"/>
        <w:adjustRightInd w:val="0"/>
        <w:snapToGrid w:val="0"/>
        <w:spacing w:line="500" w:lineRule="exact"/>
        <w:jc w:val="left"/>
        <w:rPr>
          <w:rFonts w:hint="default" w:asciiTheme="minorEastAsia" w:hAnsiTheme="minorEastAsia" w:cstheme="minorEastAsia"/>
          <w:color w:val="000000" w:themeColor="text1"/>
          <w:sz w:val="28"/>
          <w:szCs w:val="28"/>
          <w:highlight w:val="none"/>
          <w:lang w:val="en-US" w:eastAsia="zh-CN"/>
          <w14:textFill>
            <w14:solidFill>
              <w14:schemeClr w14:val="tx1"/>
            </w14:solidFill>
          </w14:textFill>
        </w:rPr>
      </w:pPr>
      <w:r>
        <w:rPr>
          <w:rFonts w:hint="eastAsia" w:asciiTheme="minorEastAsia" w:hAnsiTheme="minorEastAsia" w:cstheme="minorEastAsia"/>
          <w:color w:val="000000" w:themeColor="text1"/>
          <w:sz w:val="28"/>
          <w:szCs w:val="28"/>
          <w:highlight w:val="none"/>
          <w:lang w:val="en-US" w:eastAsia="zh-CN"/>
          <w14:textFill>
            <w14:solidFill>
              <w14:schemeClr w14:val="tx1"/>
            </w14:solidFill>
          </w14:textFill>
        </w:rPr>
        <w:t>16.由供应商进行各类环保设备比对工作。</w:t>
      </w:r>
    </w:p>
    <w:p>
      <w:pPr>
        <w:pStyle w:val="9"/>
        <w:adjustRightInd w:val="0"/>
        <w:snapToGrid w:val="0"/>
        <w:spacing w:line="500" w:lineRule="exact"/>
        <w:ind w:firstLine="0" w:firstLineChars="0"/>
        <w:jc w:val="left"/>
        <w:outlineLvl w:val="0"/>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二、具体要求</w:t>
      </w:r>
    </w:p>
    <w:p>
      <w:pPr>
        <w:adjustRightInd w:val="0"/>
        <w:snapToGrid w:val="0"/>
        <w:spacing w:line="500" w:lineRule="exact"/>
        <w:jc w:val="lef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1、运行维护管理服务：含技术人员现场维修、培训支持、</w:t>
      </w:r>
      <w:r>
        <w:rPr>
          <w:rFonts w:hint="eastAsia" w:asciiTheme="minorEastAsia" w:hAnsiTheme="minorEastAsia" w:eastAsiaTheme="minorEastAsia" w:cstheme="minorEastAsia"/>
          <w:sz w:val="28"/>
          <w:szCs w:val="28"/>
        </w:rPr>
        <w:t>易损备件更换</w:t>
      </w:r>
      <w:r>
        <w:rPr>
          <w:rFonts w:hint="eastAsia" w:asciiTheme="minorEastAsia" w:hAnsiTheme="minorEastAsia" w:eastAsiaTheme="minorEastAsia" w:cstheme="minorEastAsia"/>
          <w:color w:val="000000"/>
          <w:sz w:val="28"/>
          <w:szCs w:val="28"/>
        </w:rPr>
        <w:t>以及疑难问题设备制造商异地支持的服务等。</w:t>
      </w:r>
    </w:p>
    <w:p>
      <w:pPr>
        <w:adjustRightInd w:val="0"/>
        <w:snapToGrid w:val="0"/>
        <w:spacing w:line="500" w:lineRule="exact"/>
        <w:jc w:val="lef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维护周期如下：</w:t>
      </w:r>
    </w:p>
    <w:tbl>
      <w:tblPr>
        <w:tblStyle w:val="4"/>
        <w:tblW w:w="8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938"/>
        <w:gridCol w:w="1990"/>
        <w:gridCol w:w="4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序号</w:t>
            </w:r>
          </w:p>
        </w:tc>
        <w:tc>
          <w:tcPr>
            <w:tcW w:w="938"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维护系统名称</w:t>
            </w:r>
          </w:p>
        </w:tc>
        <w:tc>
          <w:tcPr>
            <w:tcW w:w="199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维护周期</w:t>
            </w:r>
          </w:p>
        </w:tc>
        <w:tc>
          <w:tcPr>
            <w:tcW w:w="4843"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易损件更换或维护要求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7"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1</w:t>
            </w:r>
          </w:p>
        </w:tc>
        <w:tc>
          <w:tcPr>
            <w:tcW w:w="938"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采样系统（水质采样器）清洗</w:t>
            </w:r>
          </w:p>
        </w:tc>
        <w:tc>
          <w:tcPr>
            <w:tcW w:w="199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1次/周</w:t>
            </w:r>
          </w:p>
        </w:tc>
        <w:tc>
          <w:tcPr>
            <w:tcW w:w="4843" w:type="dxa"/>
            <w:tcBorders>
              <w:top w:val="single" w:color="auto" w:sz="4" w:space="0"/>
              <w:left w:val="single" w:color="auto" w:sz="4" w:space="0"/>
              <w:bottom w:val="single" w:color="auto" w:sz="4" w:space="0"/>
              <w:right w:val="single" w:color="auto" w:sz="4" w:space="0"/>
            </w:tcBorders>
            <w:vAlign w:val="center"/>
          </w:tcPr>
          <w:p>
            <w:pPr>
              <w:numPr>
                <w:ilvl w:val="0"/>
                <w:numId w:val="1"/>
              </w:numPr>
              <w:spacing w:line="360" w:lineRule="exact"/>
              <w:ind w:left="357" w:hanging="357"/>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将采样底阀清洗，采样管路清洗，必要时更换采水底阀。</w:t>
            </w:r>
          </w:p>
          <w:p>
            <w:pPr>
              <w:numPr>
                <w:ilvl w:val="0"/>
                <w:numId w:val="1"/>
              </w:numPr>
              <w:spacing w:line="360" w:lineRule="exact"/>
              <w:ind w:left="357" w:hanging="357"/>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如管路堵塞，采用3%稀盐酸，对透明采样管进行清洗。清洗完毕后15分钟手动运行一次采水流程，以便将管路中残余药剂清洗掉。</w:t>
            </w:r>
          </w:p>
          <w:p>
            <w:pPr>
              <w:numPr>
                <w:ilvl w:val="0"/>
                <w:numId w:val="1"/>
              </w:numPr>
              <w:spacing w:line="360" w:lineRule="exact"/>
              <w:ind w:left="357" w:hanging="357"/>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恢复取水管路原状。</w:t>
            </w:r>
          </w:p>
          <w:p>
            <w:pPr>
              <w:pStyle w:val="11"/>
              <w:numPr>
                <w:ilvl w:val="0"/>
                <w:numId w:val="1"/>
              </w:numPr>
              <w:ind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对总排口在线监测仪器抽水泵进行维护保养。</w:t>
            </w:r>
          </w:p>
          <w:p>
            <w:pPr>
              <w:pStyle w:val="11"/>
              <w:numPr>
                <w:ilvl w:val="0"/>
                <w:numId w:val="1"/>
              </w:numPr>
              <w:ind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检查水质采样器泵管是否需要更换。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0"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2</w:t>
            </w:r>
          </w:p>
        </w:tc>
        <w:tc>
          <w:tcPr>
            <w:tcW w:w="938"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数采仪</w:t>
            </w:r>
          </w:p>
        </w:tc>
        <w:tc>
          <w:tcPr>
            <w:tcW w:w="199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1次/周</w:t>
            </w:r>
          </w:p>
        </w:tc>
        <w:tc>
          <w:tcPr>
            <w:tcW w:w="4843"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360" w:lineRule="exac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确保在线检测仪器与数采仪的连接一一对应正确且牢固。</w:t>
            </w:r>
          </w:p>
          <w:p>
            <w:pPr>
              <w:numPr>
                <w:ilvl w:val="0"/>
                <w:numId w:val="2"/>
              </w:numPr>
              <w:spacing w:line="360" w:lineRule="exac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通过现场观察在线监测仪器与数采仪之间数据是否正确，无误差。</w:t>
            </w:r>
          </w:p>
          <w:p>
            <w:pPr>
              <w:numPr>
                <w:ilvl w:val="0"/>
                <w:numId w:val="2"/>
              </w:numPr>
              <w:spacing w:line="360" w:lineRule="exac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检查数采仪状态数据传输和报警灯，确保数据传输和报警正常。</w:t>
            </w:r>
          </w:p>
          <w:p>
            <w:pPr>
              <w:numPr>
                <w:ilvl w:val="0"/>
                <w:numId w:val="2"/>
              </w:numPr>
              <w:spacing w:line="360" w:lineRule="exac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检查数采仪的系统时钟是否与北京时间一致。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3</w:t>
            </w:r>
          </w:p>
        </w:tc>
        <w:tc>
          <w:tcPr>
            <w:tcW w:w="938"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CODcr</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在线监测仪</w:t>
            </w:r>
            <w:r>
              <w:rPr>
                <w:rFonts w:hint="eastAsia" w:asciiTheme="minorEastAsia" w:hAnsiTheme="minorEastAsia" w:eastAsiaTheme="minorEastAsia" w:cstheme="minorEastAsia"/>
                <w:color w:val="000000" w:themeColor="text1"/>
                <w:sz w:val="28"/>
                <w:szCs w:val="28"/>
                <w14:textFill>
                  <w14:solidFill>
                    <w14:schemeClr w14:val="tx1"/>
                  </w14:solidFill>
                </w14:textFill>
              </w:rPr>
              <w:t>、氨氮</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在线监测仪</w:t>
            </w:r>
            <w:r>
              <w:rPr>
                <w:rFonts w:hint="eastAsia" w:asciiTheme="minorEastAsia" w:hAnsiTheme="minorEastAsia" w:eastAsiaTheme="minorEastAsia" w:cstheme="minorEastAsia"/>
                <w:color w:val="000000" w:themeColor="text1"/>
                <w:sz w:val="28"/>
                <w:szCs w:val="28"/>
                <w14:textFill>
                  <w14:solidFill>
                    <w14:schemeClr w14:val="tx1"/>
                  </w14:solidFill>
                </w14:textFill>
              </w:rPr>
              <w:t>、PH</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在线监测仪</w:t>
            </w:r>
            <w:r>
              <w:rPr>
                <w:rFonts w:hint="eastAsia" w:asciiTheme="minorEastAsia" w:hAnsiTheme="minorEastAsia" w:eastAsiaTheme="minorEastAsia" w:cstheme="minorEastAsia"/>
                <w:color w:val="000000" w:themeColor="text1"/>
                <w:sz w:val="28"/>
                <w:szCs w:val="28"/>
                <w14:textFill>
                  <w14:solidFill>
                    <w14:schemeClr w14:val="tx1"/>
                  </w14:solidFill>
                </w14:textFill>
              </w:rPr>
              <w:t>、余氯在线</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监测</w:t>
            </w:r>
            <w:r>
              <w:rPr>
                <w:rFonts w:hint="eastAsia" w:asciiTheme="minorEastAsia" w:hAnsiTheme="minorEastAsia" w:eastAsiaTheme="minorEastAsia" w:cstheme="minorEastAsia"/>
                <w:color w:val="000000" w:themeColor="text1"/>
                <w:sz w:val="28"/>
                <w:szCs w:val="28"/>
                <w14:textFill>
                  <w14:solidFill>
                    <w14:schemeClr w14:val="tx1"/>
                  </w14:solidFill>
                </w14:textFill>
              </w:rPr>
              <w:t>仪</w:t>
            </w:r>
          </w:p>
        </w:tc>
        <w:tc>
          <w:tcPr>
            <w:tcW w:w="199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1次/周</w:t>
            </w:r>
          </w:p>
        </w:tc>
        <w:tc>
          <w:tcPr>
            <w:tcW w:w="4843" w:type="dxa"/>
            <w:tcBorders>
              <w:top w:val="single" w:color="auto" w:sz="4" w:space="0"/>
              <w:left w:val="single" w:color="auto" w:sz="4" w:space="0"/>
              <w:bottom w:val="single" w:color="auto" w:sz="4" w:space="0"/>
              <w:right w:val="single" w:color="auto" w:sz="4" w:space="0"/>
            </w:tcBorders>
            <w:vAlign w:val="center"/>
          </w:tcPr>
          <w:p>
            <w:pPr>
              <w:pStyle w:val="12"/>
              <w:numPr>
                <w:ilvl w:val="0"/>
                <w:numId w:val="3"/>
              </w:numPr>
              <w:spacing w:line="360" w:lineRule="exact"/>
              <w:ind w:firstLineChars="0"/>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检查分析仪加热模块是否正常，更换加热丝（1次/每年）。</w:t>
            </w:r>
          </w:p>
          <w:p>
            <w:pPr>
              <w:numPr>
                <w:ilvl w:val="0"/>
                <w:numId w:val="3"/>
              </w:numPr>
              <w:spacing w:line="360" w:lineRule="exac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更换试剂，对仪器进行标定，标液核查（1次/月）。</w:t>
            </w:r>
          </w:p>
          <w:p>
            <w:pPr>
              <w:numPr>
                <w:ilvl w:val="0"/>
                <w:numId w:val="3"/>
              </w:numPr>
              <w:spacing w:line="360" w:lineRule="exac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清除反应室内水垢，疏通管道，定期更换连接管路配件。</w:t>
            </w:r>
          </w:p>
          <w:p>
            <w:pPr>
              <w:numPr>
                <w:ilvl w:val="0"/>
                <w:numId w:val="3"/>
              </w:numPr>
              <w:spacing w:line="360" w:lineRule="exac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确保各个蠕动泵工作正常，对蠕动泵进行计量校正（1次/月），对磨损的蠕动泵管进行更换(1次/</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季度</w:t>
            </w:r>
            <w:r>
              <w:rPr>
                <w:rFonts w:hint="eastAsia" w:asciiTheme="minorEastAsia" w:hAnsiTheme="minorEastAsia" w:eastAsiaTheme="minorEastAsia" w:cstheme="minorEastAsia"/>
                <w:color w:val="000000" w:themeColor="text1"/>
                <w:sz w:val="28"/>
                <w:szCs w:val="28"/>
                <w14:textFill>
                  <w14:solidFill>
                    <w14:schemeClr w14:val="tx1"/>
                  </w14:solidFill>
                </w14:textFill>
              </w:rPr>
              <w:t>)。</w:t>
            </w:r>
          </w:p>
          <w:p>
            <w:pPr>
              <w:numPr>
                <w:ilvl w:val="0"/>
                <w:numId w:val="3"/>
              </w:numPr>
              <w:spacing w:line="360" w:lineRule="exac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更换全套水样、试剂管路（1次/年）。</w:t>
            </w:r>
          </w:p>
          <w:p>
            <w:pPr>
              <w:numPr>
                <w:ilvl w:val="0"/>
                <w:numId w:val="3"/>
              </w:numPr>
              <w:spacing w:line="360" w:lineRule="exac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测试观察各泵阀是否运行正常，必要时进行清洗。</w:t>
            </w:r>
          </w:p>
          <w:p>
            <w:pPr>
              <w:numPr>
                <w:ilvl w:val="0"/>
                <w:numId w:val="3"/>
              </w:numPr>
              <w:spacing w:line="360" w:lineRule="exac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检查温度传感器温度测量是否正常，用带温度感应的万用表进行测试，更换温度传感器（1次/年）。</w:t>
            </w:r>
          </w:p>
          <w:p>
            <w:pPr>
              <w:numPr>
                <w:ilvl w:val="0"/>
                <w:numId w:val="3"/>
              </w:numPr>
              <w:spacing w:line="360" w:lineRule="exac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检查PH及余氯电极是否老化，是否需要更换。</w:t>
            </w:r>
          </w:p>
        </w:tc>
      </w:tr>
    </w:tbl>
    <w:p>
      <w:pPr>
        <w:numPr>
          <w:ilvl w:val="0"/>
          <w:numId w:val="4"/>
        </w:numPr>
        <w:spacing w:line="579" w:lineRule="exact"/>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污水处理工艺设备服务要求</w:t>
      </w:r>
    </w:p>
    <w:p>
      <w:pPr>
        <w:numPr>
          <w:ilvl w:val="0"/>
          <w:numId w:val="0"/>
        </w:numPr>
        <w:tabs>
          <w:tab w:val="center" w:pos="4153"/>
        </w:tabs>
        <w:spacing w:line="360" w:lineRule="auto"/>
        <w:ind w:firstLine="560" w:firstLineChars="200"/>
        <w:jc w:val="both"/>
        <w:rPr>
          <w:rFonts w:hint="eastAsia"/>
          <w:color w:val="000000"/>
          <w:sz w:val="28"/>
          <w:szCs w:val="28"/>
          <w:lang w:val="en-US" w:eastAsia="zh-CN"/>
        </w:rPr>
      </w:pPr>
      <w:r>
        <w:rPr>
          <w:rFonts w:hint="eastAsia"/>
          <w:color w:val="000000"/>
          <w:sz w:val="28"/>
          <w:szCs w:val="28"/>
          <w:lang w:val="en-US" w:eastAsia="zh-CN"/>
        </w:rPr>
        <w:t>1.至少安排一名技术人员驻场，24小时值守。</w:t>
      </w:r>
    </w:p>
    <w:p>
      <w:pPr>
        <w:numPr>
          <w:ilvl w:val="0"/>
          <w:numId w:val="0"/>
        </w:numPr>
        <w:tabs>
          <w:tab w:val="center" w:pos="4153"/>
        </w:tabs>
        <w:spacing w:line="360" w:lineRule="auto"/>
        <w:ind w:firstLine="560" w:firstLineChars="200"/>
        <w:jc w:val="both"/>
        <w:rPr>
          <w:rFonts w:hint="eastAsia"/>
          <w:color w:val="000000"/>
          <w:sz w:val="28"/>
          <w:szCs w:val="28"/>
          <w:lang w:val="en-US" w:eastAsia="zh-CN"/>
        </w:rPr>
      </w:pPr>
      <w:r>
        <w:rPr>
          <w:rFonts w:hint="eastAsia"/>
          <w:color w:val="000000"/>
          <w:sz w:val="28"/>
          <w:szCs w:val="28"/>
          <w:lang w:val="en-US" w:eastAsia="zh-CN"/>
        </w:rPr>
        <w:t>2.每日对潜水泵、风机、格栅机、投药设备、闸门、电器及自动控制部分进行排查，如遇问题及时处理。</w:t>
      </w:r>
    </w:p>
    <w:p>
      <w:pPr>
        <w:numPr>
          <w:ilvl w:val="0"/>
          <w:numId w:val="0"/>
        </w:numPr>
        <w:tabs>
          <w:tab w:val="center" w:pos="4153"/>
        </w:tabs>
        <w:spacing w:line="360" w:lineRule="auto"/>
        <w:ind w:firstLine="560" w:firstLineChars="200"/>
        <w:jc w:val="both"/>
        <w:rPr>
          <w:rFonts w:hint="default"/>
          <w:color w:val="000000"/>
          <w:sz w:val="28"/>
          <w:szCs w:val="28"/>
          <w:lang w:val="en-US" w:eastAsia="zh-CN"/>
        </w:rPr>
      </w:pPr>
      <w:r>
        <w:rPr>
          <w:rFonts w:hint="eastAsia"/>
          <w:color w:val="000000"/>
          <w:sz w:val="28"/>
          <w:szCs w:val="28"/>
          <w:lang w:val="en-US" w:eastAsia="zh-CN"/>
        </w:rPr>
        <w:t>3.积极配合医院接受环保部门对污水处理站的各项检查。</w:t>
      </w:r>
    </w:p>
    <w:p>
      <w:pPr>
        <w:adjustRightInd w:val="0"/>
        <w:snapToGrid w:val="0"/>
        <w:spacing w:line="360" w:lineRule="auto"/>
        <w:ind w:firstLine="560" w:firstLineChars="200"/>
        <w:outlineLvl w:val="1"/>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二、具体内容</w:t>
      </w:r>
    </w:p>
    <w:p>
      <w:pPr>
        <w:adjustRightInd w:val="0"/>
        <w:snapToGrid w:val="0"/>
        <w:spacing w:line="360" w:lineRule="auto"/>
        <w:ind w:firstLine="560" w:firstLineChars="200"/>
        <w:outlineLvl w:val="1"/>
        <w:rPr>
          <w:rFonts w:hint="eastAsia"/>
          <w:color w:val="000000"/>
          <w:sz w:val="28"/>
          <w:szCs w:val="28"/>
        </w:rPr>
      </w:pPr>
      <w:r>
        <w:rPr>
          <w:rFonts w:hint="eastAsia"/>
          <w:color w:val="000000"/>
          <w:sz w:val="28"/>
          <w:szCs w:val="28"/>
          <w:lang w:val="en-US" w:eastAsia="zh-CN"/>
        </w:rPr>
        <w:t>主要负责污水处理站的</w:t>
      </w:r>
      <w:r>
        <w:rPr>
          <w:rFonts w:hint="eastAsia"/>
          <w:color w:val="000000"/>
          <w:sz w:val="28"/>
          <w:szCs w:val="28"/>
        </w:rPr>
        <w:t>设备的维护保养</w:t>
      </w:r>
      <w:r>
        <w:rPr>
          <w:rFonts w:hint="eastAsia"/>
          <w:color w:val="000000"/>
          <w:sz w:val="28"/>
          <w:szCs w:val="28"/>
          <w:lang w:eastAsia="zh-CN"/>
        </w:rPr>
        <w:t>，</w:t>
      </w:r>
      <w:r>
        <w:rPr>
          <w:rFonts w:hint="eastAsia"/>
          <w:color w:val="000000"/>
          <w:sz w:val="28"/>
          <w:szCs w:val="28"/>
        </w:rPr>
        <w:t>分为日常维护、定期</w:t>
      </w:r>
      <w:r>
        <w:rPr>
          <w:rFonts w:hint="eastAsia"/>
          <w:color w:val="000000"/>
          <w:sz w:val="28"/>
          <w:szCs w:val="28"/>
          <w:lang w:val="en-US" w:eastAsia="zh-CN"/>
        </w:rPr>
        <w:t>保养</w:t>
      </w:r>
      <w:r>
        <w:rPr>
          <w:rFonts w:hint="eastAsia"/>
          <w:color w:val="000000"/>
          <w:sz w:val="28"/>
          <w:szCs w:val="28"/>
        </w:rPr>
        <w:t>和计划维修。</w:t>
      </w:r>
    </w:p>
    <w:p>
      <w:pPr>
        <w:spacing w:line="360" w:lineRule="auto"/>
        <w:ind w:firstLine="560" w:firstLineChars="200"/>
        <w:rPr>
          <w:rFonts w:hint="eastAsia"/>
          <w:color w:val="000000"/>
          <w:sz w:val="28"/>
          <w:szCs w:val="28"/>
        </w:rPr>
      </w:pPr>
      <w:r>
        <w:rPr>
          <w:rFonts w:hint="eastAsia"/>
          <w:b/>
          <w:color w:val="000000"/>
          <w:sz w:val="28"/>
          <w:szCs w:val="28"/>
          <w:lang w:val="en-US" w:eastAsia="zh-CN"/>
        </w:rPr>
        <w:t>（一）</w:t>
      </w:r>
      <w:r>
        <w:rPr>
          <w:rFonts w:hint="eastAsia"/>
          <w:b/>
          <w:color w:val="000000"/>
          <w:sz w:val="28"/>
          <w:szCs w:val="28"/>
        </w:rPr>
        <w:t>日常检查</w:t>
      </w:r>
      <w:r>
        <w:rPr>
          <w:rFonts w:hint="eastAsia"/>
          <w:color w:val="000000"/>
          <w:sz w:val="28"/>
          <w:szCs w:val="28"/>
          <w:lang w:eastAsia="zh-CN"/>
        </w:rPr>
        <w:t>：</w:t>
      </w:r>
      <w:r>
        <w:rPr>
          <w:rFonts w:hint="eastAsia"/>
          <w:color w:val="000000"/>
          <w:sz w:val="28"/>
          <w:szCs w:val="28"/>
          <w:lang w:val="en-US" w:eastAsia="zh-CN"/>
        </w:rPr>
        <w:t>每天对东、西区的污水处理站进行常规检查，查找问题</w:t>
      </w:r>
      <w:r>
        <w:rPr>
          <w:rFonts w:hint="eastAsia"/>
          <w:color w:val="000000"/>
          <w:sz w:val="28"/>
          <w:szCs w:val="28"/>
        </w:rPr>
        <w:t>。</w:t>
      </w:r>
    </w:p>
    <w:p>
      <w:pPr>
        <w:spacing w:line="360" w:lineRule="auto"/>
        <w:ind w:firstLine="560" w:firstLineChars="200"/>
        <w:rPr>
          <w:rFonts w:hint="default"/>
          <w:color w:val="000000"/>
          <w:sz w:val="28"/>
          <w:szCs w:val="28"/>
          <w:lang w:val="en-US" w:eastAsia="zh-CN"/>
        </w:rPr>
      </w:pPr>
      <w:r>
        <w:rPr>
          <w:rFonts w:hint="eastAsia"/>
          <w:b/>
          <w:color w:val="000000"/>
          <w:sz w:val="28"/>
          <w:szCs w:val="28"/>
          <w:lang w:val="en-US" w:eastAsia="zh-CN"/>
        </w:rPr>
        <w:t>（二）定期</w:t>
      </w:r>
      <w:r>
        <w:rPr>
          <w:rFonts w:hint="eastAsia"/>
          <w:b/>
          <w:color w:val="000000"/>
          <w:sz w:val="28"/>
          <w:szCs w:val="28"/>
        </w:rPr>
        <w:t>保养</w:t>
      </w:r>
      <w:r>
        <w:rPr>
          <w:rFonts w:hint="eastAsia"/>
          <w:color w:val="000000"/>
          <w:sz w:val="28"/>
          <w:szCs w:val="28"/>
          <w:lang w:eastAsia="zh-CN"/>
        </w:rPr>
        <w:t>：</w:t>
      </w:r>
      <w:r>
        <w:rPr>
          <w:rFonts w:hint="eastAsia"/>
          <w:color w:val="000000"/>
          <w:sz w:val="28"/>
          <w:szCs w:val="28"/>
          <w:lang w:val="en-US" w:eastAsia="zh-CN"/>
        </w:rPr>
        <w:t>每个月</w:t>
      </w:r>
      <w:r>
        <w:rPr>
          <w:rFonts w:hint="eastAsia"/>
          <w:color w:val="000000"/>
          <w:sz w:val="28"/>
          <w:szCs w:val="28"/>
        </w:rPr>
        <w:t>对设备易损零部件进行的检查保养，包括清洁、润滑、设备局部和重点的拆卸、调整等。由</w:t>
      </w:r>
      <w:r>
        <w:rPr>
          <w:rFonts w:hint="eastAsia"/>
          <w:color w:val="000000"/>
          <w:sz w:val="28"/>
          <w:szCs w:val="28"/>
          <w:lang w:val="en-US" w:eastAsia="zh-CN"/>
        </w:rPr>
        <w:t>维保单位派遣</w:t>
      </w:r>
      <w:r>
        <w:rPr>
          <w:rFonts w:hint="eastAsia"/>
          <w:color w:val="000000"/>
          <w:sz w:val="28"/>
          <w:szCs w:val="28"/>
        </w:rPr>
        <w:t>专职检修技术工人承担。</w:t>
      </w:r>
      <w:r>
        <w:rPr>
          <w:rFonts w:hint="eastAsia"/>
          <w:color w:val="000000"/>
          <w:sz w:val="28"/>
          <w:szCs w:val="28"/>
          <w:lang w:val="en-US" w:eastAsia="zh-CN"/>
        </w:rPr>
        <w:t>具体内容如下：</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1.潜污泵</w:t>
      </w:r>
    </w:p>
    <w:p>
      <w:pPr>
        <w:numPr>
          <w:ilvl w:val="0"/>
          <w:numId w:val="0"/>
        </w:num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1）检查电机绝缘及紧固螺钉防止紧固螺钉松动，同时防止因绝缘效果差而烧泵；重点检查电机绝缘情况及机械密封情况，同时用专业工具，对电机进行检测，看电机是否运行正常，并对泵轴进行平衡度校正并对轴承的间隙进行检测，及时更换；</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 xml:space="preserve">（2）及时做好泵体防腐处理、泵内堵塞物清掏，以防烧泵和影响出水效果；及时检查电缆破损漏电，短路而影响水泵正常运行； </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 xml:space="preserve">（3）检查机械密封件，必要时应更换，更换时须做气密试验。 </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（4）更换一次轴承润滑脂，润滑脂量为轴承腔间隙1/3-1/2，润滑脂推荐采用高温钙纳基润滑脂。 　　</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2、风机</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（1）检查机械密封的各个部位，将两端机械密封的静环装置均匀平稳地压入定位孔中，检查润滑油是否足量，及时添加润滑油，观察密封面是否损坏，如出现损坏、腐蚀则进行更换；</w:t>
      </w:r>
    </w:p>
    <w:p>
      <w:pPr>
        <w:spacing w:line="360" w:lineRule="auto"/>
        <w:ind w:firstLine="560" w:firstLineChars="200"/>
        <w:rPr>
          <w:rFonts w:hint="default"/>
          <w:color w:val="000000"/>
          <w:sz w:val="28"/>
          <w:szCs w:val="28"/>
          <w:lang w:val="en-US" w:eastAsia="zh-CN"/>
        </w:rPr>
      </w:pPr>
      <w:r>
        <w:rPr>
          <w:rFonts w:hint="eastAsia"/>
          <w:color w:val="000000"/>
          <w:sz w:val="28"/>
          <w:szCs w:val="28"/>
          <w:lang w:val="en-US" w:eastAsia="zh-CN"/>
        </w:rPr>
        <w:t>（2）检查线路是否老化，接头是否脱落。</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4、投药设备</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（1）每日检查接口、阀门、管道，计量泵，如有泄漏、老化、堵塞立即更换；</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（2）清洁计量泵，防止堵塞和老化，如有老化，腐蚀，堵塞应立即更换；</w:t>
      </w:r>
    </w:p>
    <w:p>
      <w:pPr>
        <w:spacing w:line="360" w:lineRule="auto"/>
        <w:ind w:firstLine="560" w:firstLineChars="200"/>
        <w:rPr>
          <w:rFonts w:hint="eastAsia"/>
          <w:color w:val="000000"/>
          <w:sz w:val="28"/>
          <w:szCs w:val="28"/>
          <w:lang w:eastAsia="zh-CN"/>
        </w:rPr>
      </w:pPr>
      <w:r>
        <w:rPr>
          <w:rFonts w:hint="eastAsia"/>
          <w:color w:val="000000"/>
          <w:sz w:val="28"/>
          <w:szCs w:val="28"/>
          <w:lang w:val="en-US" w:eastAsia="zh-CN"/>
        </w:rPr>
        <w:t>（3）</w:t>
      </w:r>
      <w:r>
        <w:rPr>
          <w:rFonts w:hint="eastAsia"/>
          <w:color w:val="000000"/>
          <w:sz w:val="28"/>
          <w:szCs w:val="28"/>
        </w:rPr>
        <w:t>检查</w:t>
      </w:r>
      <w:r>
        <w:rPr>
          <w:rFonts w:hint="eastAsia"/>
          <w:color w:val="000000"/>
          <w:sz w:val="28"/>
          <w:szCs w:val="28"/>
          <w:lang w:val="en-US" w:eastAsia="zh-CN"/>
        </w:rPr>
        <w:t>储药箱是否有漏点，各管道阀门间是否有结晶，</w:t>
      </w:r>
      <w:r>
        <w:rPr>
          <w:rFonts w:hint="eastAsia"/>
          <w:color w:val="000000"/>
          <w:sz w:val="28"/>
          <w:szCs w:val="28"/>
        </w:rPr>
        <w:t>计算泵工作是否正常，</w:t>
      </w:r>
      <w:r>
        <w:rPr>
          <w:rFonts w:hint="eastAsia"/>
          <w:color w:val="000000"/>
          <w:sz w:val="28"/>
          <w:szCs w:val="28"/>
          <w:lang w:val="en-US" w:eastAsia="zh-CN"/>
        </w:rPr>
        <w:t>及时处理，</w:t>
      </w:r>
      <w:r>
        <w:rPr>
          <w:rFonts w:hint="eastAsia"/>
          <w:color w:val="000000"/>
          <w:sz w:val="28"/>
          <w:szCs w:val="28"/>
        </w:rPr>
        <w:t>原料不足时及时添加和更换</w:t>
      </w:r>
      <w:r>
        <w:rPr>
          <w:rFonts w:hint="eastAsia"/>
          <w:color w:val="000000"/>
          <w:sz w:val="28"/>
          <w:szCs w:val="28"/>
          <w:lang w:eastAsia="zh-CN"/>
        </w:rPr>
        <w:t>；</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（4）检查电路电线是否老化损坏，对已老化、损坏的电线进行更换。</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（5）</w:t>
      </w:r>
      <w:r>
        <w:rPr>
          <w:rFonts w:hint="eastAsia"/>
          <w:color w:val="000000"/>
          <w:sz w:val="28"/>
          <w:szCs w:val="28"/>
          <w:lang w:eastAsia="zh-CN"/>
        </w:rPr>
        <w:t>若发生</w:t>
      </w:r>
      <w:r>
        <w:rPr>
          <w:rFonts w:hint="eastAsia"/>
          <w:color w:val="000000"/>
          <w:sz w:val="28"/>
          <w:szCs w:val="28"/>
          <w:lang w:val="en-US" w:eastAsia="zh-CN"/>
        </w:rPr>
        <w:t>泄漏</w:t>
      </w:r>
      <w:r>
        <w:rPr>
          <w:rFonts w:hint="eastAsia"/>
          <w:color w:val="000000"/>
          <w:sz w:val="28"/>
          <w:szCs w:val="28"/>
          <w:lang w:eastAsia="zh-CN"/>
        </w:rPr>
        <w:t>，过滤器、管道堵塞，及其他零配件损坏，二氧化氯不出气，</w:t>
      </w:r>
      <w:r>
        <w:rPr>
          <w:rFonts w:hint="eastAsia"/>
          <w:color w:val="000000"/>
          <w:sz w:val="28"/>
          <w:szCs w:val="28"/>
          <w:lang w:val="en-US" w:eastAsia="zh-CN"/>
        </w:rPr>
        <w:t>供应商派</w:t>
      </w:r>
      <w:r>
        <w:rPr>
          <w:rFonts w:hint="eastAsia"/>
          <w:color w:val="000000"/>
          <w:sz w:val="28"/>
          <w:szCs w:val="28"/>
          <w:lang w:eastAsia="zh-CN"/>
        </w:rPr>
        <w:t>专职人员到场进行维修更换。</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5、闸门</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 xml:space="preserve"> 检查各管道闸门，疏通堵塞，更换老化、损坏。</w:t>
      </w:r>
    </w:p>
    <w:p>
      <w:pPr>
        <w:spacing w:line="360" w:lineRule="auto"/>
        <w:rPr>
          <w:rFonts w:hint="eastAsia"/>
          <w:color w:val="000000"/>
          <w:sz w:val="28"/>
          <w:szCs w:val="28"/>
          <w:lang w:eastAsia="zh-CN"/>
        </w:rPr>
      </w:pPr>
      <w:r>
        <w:rPr>
          <w:rFonts w:hint="eastAsia"/>
          <w:color w:val="000000"/>
          <w:sz w:val="28"/>
          <w:szCs w:val="28"/>
          <w:lang w:val="en-US" w:eastAsia="zh-CN"/>
        </w:rPr>
        <w:t xml:space="preserve">    6、控制柜</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检查电缆电线是否老化，电气启闭是否正常 ，对不灵活、不能启闭的开关和老化电线进行更换。</w:t>
      </w:r>
    </w:p>
    <w:p>
      <w:pPr>
        <w:numPr>
          <w:ilvl w:val="0"/>
          <w:numId w:val="0"/>
        </w:numPr>
        <w:tabs>
          <w:tab w:val="center" w:pos="4153"/>
        </w:tabs>
        <w:spacing w:line="360" w:lineRule="auto"/>
        <w:ind w:firstLine="560" w:firstLineChars="200"/>
        <w:jc w:val="both"/>
        <w:rPr>
          <w:rFonts w:hint="eastAsia"/>
          <w:color w:val="000000"/>
          <w:sz w:val="28"/>
          <w:szCs w:val="28"/>
          <w:lang w:val="en-US" w:eastAsia="zh-CN"/>
        </w:rPr>
      </w:pPr>
      <w:r>
        <w:rPr>
          <w:rFonts w:hint="eastAsia"/>
          <w:color w:val="000000"/>
          <w:sz w:val="28"/>
          <w:szCs w:val="28"/>
          <w:lang w:val="en-US" w:eastAsia="zh-CN"/>
        </w:rPr>
        <w:t>7、其他部分</w:t>
      </w:r>
    </w:p>
    <w:p>
      <w:pPr>
        <w:spacing w:line="360" w:lineRule="auto"/>
        <w:ind w:firstLine="560" w:firstLineChars="200"/>
        <w:rPr>
          <w:rFonts w:hint="eastAsia"/>
          <w:color w:val="000000"/>
          <w:sz w:val="28"/>
          <w:szCs w:val="28"/>
          <w:lang w:val="en-US" w:eastAsia="zh-CN"/>
        </w:rPr>
      </w:pPr>
      <w:r>
        <w:rPr>
          <w:rFonts w:hint="eastAsia"/>
          <w:color w:val="000000"/>
          <w:sz w:val="28"/>
          <w:szCs w:val="28"/>
          <w:lang w:val="en-US" w:eastAsia="zh-CN"/>
        </w:rPr>
        <w:t>全面检测检修，保证污水处理站正常使用。</w:t>
      </w:r>
    </w:p>
    <w:p>
      <w:pPr>
        <w:spacing w:line="360" w:lineRule="auto"/>
        <w:ind w:firstLine="560" w:firstLineChars="200"/>
        <w:rPr>
          <w:rFonts w:hint="default"/>
          <w:color w:val="auto"/>
          <w:sz w:val="28"/>
          <w:szCs w:val="28"/>
          <w:highlight w:val="none"/>
          <w:lang w:val="en-US" w:eastAsia="zh-CN"/>
        </w:rPr>
      </w:pPr>
      <w:r>
        <w:rPr>
          <w:rFonts w:hint="eastAsia"/>
          <w:color w:val="auto"/>
          <w:sz w:val="28"/>
          <w:szCs w:val="28"/>
          <w:highlight w:val="none"/>
          <w:lang w:val="en-US" w:eastAsia="zh-CN"/>
        </w:rPr>
        <w:t>8、废气处理装置更换活性炭每季度一次，并处置。</w:t>
      </w:r>
    </w:p>
    <w:p>
      <w:pPr>
        <w:numPr>
          <w:ilvl w:val="0"/>
          <w:numId w:val="0"/>
        </w:numPr>
        <w:tabs>
          <w:tab w:val="center" w:pos="4153"/>
        </w:tabs>
        <w:spacing w:line="360" w:lineRule="auto"/>
        <w:ind w:firstLine="560" w:firstLineChars="200"/>
        <w:jc w:val="both"/>
        <w:rPr>
          <w:rFonts w:hint="eastAsia"/>
          <w:b w:val="0"/>
          <w:bCs w:val="0"/>
          <w:color w:val="000000"/>
          <w:sz w:val="28"/>
          <w:szCs w:val="28"/>
          <w:lang w:val="en-US" w:eastAsia="zh-CN"/>
        </w:rPr>
      </w:pPr>
      <w:r>
        <w:rPr>
          <w:rFonts w:hint="eastAsia"/>
          <w:b/>
          <w:bCs/>
          <w:color w:val="000000"/>
          <w:sz w:val="28"/>
          <w:szCs w:val="28"/>
          <w:lang w:val="en-US" w:eastAsia="zh-CN"/>
        </w:rPr>
        <w:t>（三）维修：</w:t>
      </w:r>
    </w:p>
    <w:p>
      <w:pPr>
        <w:numPr>
          <w:ilvl w:val="0"/>
          <w:numId w:val="0"/>
        </w:numPr>
        <w:tabs>
          <w:tab w:val="center" w:pos="4153"/>
        </w:tabs>
        <w:spacing w:line="360" w:lineRule="auto"/>
        <w:ind w:firstLine="560" w:firstLineChars="200"/>
        <w:jc w:val="both"/>
        <w:rPr>
          <w:rFonts w:hint="eastAsia"/>
          <w:b w:val="0"/>
          <w:bCs w:val="0"/>
          <w:color w:val="000000"/>
          <w:sz w:val="28"/>
          <w:szCs w:val="28"/>
          <w:lang w:val="en-US" w:eastAsia="zh-CN"/>
        </w:rPr>
      </w:pPr>
      <w:r>
        <w:rPr>
          <w:rFonts w:hint="eastAsia"/>
          <w:b w:val="0"/>
          <w:bCs w:val="0"/>
          <w:color w:val="000000"/>
          <w:sz w:val="28"/>
          <w:szCs w:val="28"/>
          <w:lang w:val="en-US" w:eastAsia="zh-CN"/>
        </w:rPr>
        <w:t>1、对设备的局部进行修理、更换和调整，</w:t>
      </w:r>
      <w:r>
        <w:rPr>
          <w:rFonts w:hint="eastAsia"/>
          <w:color w:val="000000"/>
          <w:sz w:val="28"/>
          <w:szCs w:val="28"/>
        </w:rPr>
        <w:t>由</w:t>
      </w:r>
      <w:r>
        <w:rPr>
          <w:rFonts w:hint="eastAsia"/>
          <w:color w:val="000000"/>
          <w:sz w:val="28"/>
          <w:szCs w:val="28"/>
          <w:lang w:val="en-US" w:eastAsia="zh-CN"/>
        </w:rPr>
        <w:t>维保单位派遣</w:t>
      </w:r>
      <w:r>
        <w:rPr>
          <w:rFonts w:hint="eastAsia"/>
          <w:color w:val="000000"/>
          <w:sz w:val="28"/>
          <w:szCs w:val="28"/>
        </w:rPr>
        <w:t>专职检修技术工人承担。</w:t>
      </w:r>
    </w:p>
    <w:p>
      <w:pPr>
        <w:numPr>
          <w:ilvl w:val="0"/>
          <w:numId w:val="0"/>
        </w:numPr>
        <w:tabs>
          <w:tab w:val="center" w:pos="4153"/>
        </w:tabs>
        <w:spacing w:line="360" w:lineRule="auto"/>
        <w:ind w:firstLine="560" w:firstLineChars="200"/>
        <w:jc w:val="both"/>
        <w:rPr>
          <w:rFonts w:hint="eastAsia" w:ascii="Times New Roman" w:hAnsi="Times New Roman" w:eastAsia="宋体" w:cs="Times New Roman"/>
          <w:b w:val="0"/>
          <w:bCs w:val="0"/>
          <w:color w:val="000000"/>
          <w:sz w:val="28"/>
          <w:szCs w:val="28"/>
          <w:lang w:val="en-US" w:eastAsia="zh-CN"/>
        </w:rPr>
      </w:pPr>
      <w:r>
        <w:rPr>
          <w:rFonts w:hint="eastAsia" w:ascii="Times New Roman" w:hAnsi="Times New Roman" w:eastAsia="宋体" w:cs="Times New Roman"/>
          <w:b w:val="0"/>
          <w:bCs w:val="0"/>
          <w:color w:val="000000"/>
          <w:sz w:val="28"/>
          <w:szCs w:val="28"/>
          <w:lang w:val="en-US" w:eastAsia="zh-CN"/>
        </w:rPr>
        <w:t>2、供应商应为采购人配备足够配件替用，以确保污水处理站正常运行。</w:t>
      </w:r>
    </w:p>
    <w:p>
      <w:pPr>
        <w:numPr>
          <w:ilvl w:val="0"/>
          <w:numId w:val="0"/>
        </w:numPr>
        <w:tabs>
          <w:tab w:val="center" w:pos="4153"/>
        </w:tabs>
        <w:spacing w:line="360" w:lineRule="auto"/>
        <w:ind w:firstLine="560" w:firstLineChars="200"/>
        <w:jc w:val="both"/>
        <w:rPr>
          <w:rFonts w:hint="eastAsia" w:ascii="Times New Roman" w:hAnsi="Times New Roman" w:eastAsia="宋体" w:cs="Times New Roman"/>
          <w:b w:val="0"/>
          <w:bCs w:val="0"/>
          <w:color w:val="000000"/>
          <w:sz w:val="28"/>
          <w:szCs w:val="28"/>
          <w:lang w:val="en-US" w:eastAsia="zh-CN"/>
        </w:rPr>
      </w:pPr>
      <w:r>
        <w:rPr>
          <w:rFonts w:hint="eastAsia" w:ascii="Times New Roman" w:hAnsi="Times New Roman" w:eastAsia="宋体" w:cs="Times New Roman"/>
          <w:b w:val="0"/>
          <w:bCs w:val="0"/>
          <w:color w:val="000000"/>
          <w:sz w:val="28"/>
          <w:szCs w:val="28"/>
          <w:lang w:val="en-US" w:eastAsia="zh-CN"/>
        </w:rPr>
        <w:t>3、提供质保：维修质保不低于三个月，更换全新配件质保不低于一年。</w:t>
      </w:r>
    </w:p>
    <w:p>
      <w:pPr>
        <w:numPr>
          <w:ilvl w:val="0"/>
          <w:numId w:val="0"/>
        </w:numPr>
        <w:tabs>
          <w:tab w:val="center" w:pos="4153"/>
        </w:tabs>
        <w:spacing w:line="360" w:lineRule="auto"/>
        <w:ind w:firstLine="560" w:firstLineChars="200"/>
        <w:jc w:val="both"/>
        <w:rPr>
          <w:rFonts w:hint="default" w:ascii="Times New Roman" w:hAnsi="Times New Roman" w:eastAsia="宋体" w:cs="Times New Roman"/>
          <w:b w:val="0"/>
          <w:bCs w:val="0"/>
          <w:color w:val="000000"/>
          <w:sz w:val="28"/>
          <w:szCs w:val="28"/>
          <w:highlight w:val="none"/>
          <w:lang w:val="en-US" w:eastAsia="zh-CN"/>
        </w:rPr>
      </w:pPr>
      <w:r>
        <w:rPr>
          <w:rFonts w:hint="eastAsia" w:asciiTheme="minorEastAsia" w:hAnsiTheme="minorEastAsia" w:eastAsiaTheme="minorEastAsia" w:cstheme="minorEastAsia"/>
          <w:b/>
          <w:bCs/>
          <w:color w:val="000000"/>
          <w:sz w:val="28"/>
          <w:szCs w:val="28"/>
          <w:highlight w:val="none"/>
          <w:lang w:val="en-US" w:eastAsia="zh-CN"/>
        </w:rPr>
        <w:t>（四）药剂及菌种投加</w:t>
      </w:r>
    </w:p>
    <w:p>
      <w:pPr>
        <w:numPr>
          <w:ilvl w:val="0"/>
          <w:numId w:val="0"/>
        </w:numPr>
        <w:tabs>
          <w:tab w:val="center" w:pos="4153"/>
        </w:tabs>
        <w:spacing w:line="360" w:lineRule="auto"/>
        <w:ind w:firstLine="560" w:firstLineChars="200"/>
        <w:jc w:val="both"/>
        <w:rPr>
          <w:rFonts w:hint="eastAsia" w:ascii="Times New Roman" w:hAnsi="Times New Roman" w:eastAsia="宋体" w:cs="Times New Roman"/>
          <w:b w:val="0"/>
          <w:bCs w:val="0"/>
          <w:color w:val="000000"/>
          <w:sz w:val="28"/>
          <w:szCs w:val="28"/>
          <w:highlight w:val="none"/>
          <w:lang w:val="en-US" w:eastAsia="zh-CN"/>
        </w:rPr>
      </w:pPr>
      <w:r>
        <w:rPr>
          <w:rFonts w:hint="eastAsia" w:ascii="Times New Roman" w:hAnsi="Times New Roman" w:eastAsia="宋体" w:cs="Times New Roman"/>
          <w:b w:val="0"/>
          <w:bCs w:val="0"/>
          <w:color w:val="000000"/>
          <w:sz w:val="28"/>
          <w:szCs w:val="28"/>
          <w:highlight w:val="none"/>
          <w:lang w:val="en-US" w:eastAsia="zh-CN"/>
        </w:rPr>
        <w:t>1.污水处理站设计处理量1600m³每天，包含整年度消毒药剂、碳源投加、污泥菌种、PAC（含量不低于28%）、PAM药剂等投加，维护出水水质达标排放。消毒药剂预计用量480吨每年，碳源药剂预计用量48吨每年，污泥菌种按实际情况投加，PAC、PAM按实际情况投加。</w:t>
      </w: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w:t>
      </w:r>
      <w:r>
        <w:rPr>
          <w:rFonts w:hint="eastAsia" w:asciiTheme="minorEastAsia" w:hAnsiTheme="minorEastAsia" w:cstheme="minorEastAsia"/>
          <w:b/>
          <w:bCs/>
          <w:sz w:val="28"/>
          <w:szCs w:val="28"/>
          <w:highlight w:val="none"/>
          <w:lang w:val="en-US" w:eastAsia="zh-CN"/>
        </w:rPr>
        <w:t>五</w:t>
      </w:r>
      <w:r>
        <w:rPr>
          <w:rFonts w:hint="eastAsia" w:asciiTheme="minorEastAsia" w:hAnsiTheme="minorEastAsia" w:eastAsiaTheme="minorEastAsia" w:cstheme="minorEastAsia"/>
          <w:b/>
          <w:bCs/>
          <w:sz w:val="28"/>
          <w:szCs w:val="28"/>
          <w:highlight w:val="none"/>
          <w:lang w:val="en-US" w:eastAsia="zh-CN"/>
        </w:rPr>
        <w:t>）风险管控费用</w:t>
      </w:r>
    </w:p>
    <w:p>
      <w:pPr>
        <w:numPr>
          <w:ilvl w:val="0"/>
          <w:numId w:val="0"/>
        </w:numPr>
        <w:spacing w:line="579" w:lineRule="exact"/>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1.承接的供应商因自身运维不专业造成的污水站任何环保处罚费，由供应商自己承担。</w:t>
      </w:r>
    </w:p>
    <w:p>
      <w:pPr>
        <w:numPr>
          <w:ilvl w:val="0"/>
          <w:numId w:val="0"/>
        </w:numPr>
        <w:tabs>
          <w:tab w:val="center" w:pos="4153"/>
        </w:tabs>
        <w:spacing w:line="360" w:lineRule="auto"/>
        <w:jc w:val="both"/>
        <w:rPr>
          <w:rFonts w:hint="eastAsia" w:asciiTheme="minorEastAsia" w:hAnsiTheme="minorEastAsia" w:eastAsiaTheme="minorEastAsia" w:cstheme="minorEastAsia"/>
          <w:b/>
          <w:bCs/>
          <w:color w:val="000000"/>
          <w:sz w:val="28"/>
          <w:szCs w:val="28"/>
          <w:highlight w:val="none"/>
          <w:lang w:val="en-US" w:eastAsia="zh-CN"/>
        </w:rPr>
      </w:pPr>
      <w:r>
        <w:rPr>
          <w:rFonts w:hint="eastAsia" w:asciiTheme="minorEastAsia" w:hAnsiTheme="minorEastAsia" w:eastAsiaTheme="minorEastAsia" w:cstheme="minorEastAsia"/>
          <w:b/>
          <w:bCs/>
          <w:color w:val="000000"/>
          <w:sz w:val="28"/>
          <w:szCs w:val="28"/>
          <w:highlight w:val="none"/>
          <w:lang w:val="en-US" w:eastAsia="zh-CN"/>
        </w:rPr>
        <w:t>（</w:t>
      </w:r>
      <w:r>
        <w:rPr>
          <w:rFonts w:hint="eastAsia" w:asciiTheme="minorEastAsia" w:hAnsiTheme="minorEastAsia" w:cstheme="minorEastAsia"/>
          <w:b/>
          <w:bCs/>
          <w:color w:val="000000"/>
          <w:sz w:val="28"/>
          <w:szCs w:val="28"/>
          <w:highlight w:val="none"/>
          <w:lang w:val="en-US" w:eastAsia="zh-CN"/>
        </w:rPr>
        <w:t>六</w:t>
      </w:r>
      <w:r>
        <w:rPr>
          <w:rFonts w:hint="eastAsia" w:asciiTheme="minorEastAsia" w:hAnsiTheme="minorEastAsia" w:eastAsiaTheme="minorEastAsia" w:cstheme="minorEastAsia"/>
          <w:b/>
          <w:bCs/>
          <w:color w:val="000000"/>
          <w:sz w:val="28"/>
          <w:szCs w:val="28"/>
          <w:highlight w:val="none"/>
          <w:lang w:val="en-US" w:eastAsia="zh-CN"/>
        </w:rPr>
        <w:t>）主要设备清单</w:t>
      </w:r>
    </w:p>
    <w:p>
      <w:pPr>
        <w:numPr>
          <w:ilvl w:val="0"/>
          <w:numId w:val="0"/>
        </w:numPr>
        <w:tabs>
          <w:tab w:val="center" w:pos="4153"/>
        </w:tabs>
        <w:spacing w:line="360" w:lineRule="auto"/>
        <w:jc w:val="both"/>
        <w:rPr>
          <w:rFonts w:hint="default" w:ascii="Times New Roman" w:hAnsi="Times New Roman" w:eastAsia="宋体" w:cs="Times New Roman"/>
          <w:b w:val="0"/>
          <w:bCs w:val="0"/>
          <w:color w:val="000000"/>
          <w:sz w:val="28"/>
          <w:szCs w:val="28"/>
          <w:highlight w:val="none"/>
          <w:lang w:val="en-US" w:eastAsia="zh-CN"/>
        </w:rPr>
      </w:pPr>
      <w:r>
        <w:rPr>
          <w:rFonts w:hint="eastAsia" w:ascii="Times New Roman" w:hAnsi="Times New Roman" w:eastAsia="宋体" w:cs="Times New Roman"/>
          <w:b w:val="0"/>
          <w:bCs w:val="0"/>
          <w:color w:val="000000"/>
          <w:sz w:val="28"/>
          <w:szCs w:val="28"/>
          <w:highlight w:val="none"/>
          <w:lang w:val="en-US" w:eastAsia="zh-CN"/>
        </w:rPr>
        <w:t>东区：</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6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20" w:type="dxa"/>
          </w:tcPr>
          <w:p>
            <w:pPr>
              <w:numPr>
                <w:ilvl w:val="0"/>
                <w:numId w:val="0"/>
              </w:numPr>
              <w:spacing w:line="579" w:lineRule="exact"/>
              <w:jc w:val="center"/>
              <w:rPr>
                <w:rFonts w:hint="default" w:ascii="仿宋" w:hAnsi="仿宋" w:eastAsia="仿宋" w:cs="仿宋"/>
                <w:b/>
                <w:bCs/>
                <w:sz w:val="32"/>
                <w:szCs w:val="32"/>
                <w:highlight w:val="none"/>
                <w:vertAlign w:val="baseline"/>
                <w:lang w:val="en-US" w:eastAsia="zh-CN"/>
              </w:rPr>
            </w:pPr>
            <w:r>
              <w:rPr>
                <w:rFonts w:hint="eastAsia" w:ascii="仿宋" w:hAnsi="仿宋" w:eastAsia="仿宋" w:cs="仿宋"/>
                <w:b/>
                <w:bCs/>
                <w:sz w:val="32"/>
                <w:szCs w:val="32"/>
                <w:highlight w:val="none"/>
                <w:vertAlign w:val="baseline"/>
                <w:lang w:val="en-US" w:eastAsia="zh-CN"/>
              </w:rPr>
              <w:t>序号</w:t>
            </w:r>
          </w:p>
        </w:tc>
        <w:tc>
          <w:tcPr>
            <w:tcW w:w="6128" w:type="dxa"/>
          </w:tcPr>
          <w:p>
            <w:pPr>
              <w:numPr>
                <w:ilvl w:val="0"/>
                <w:numId w:val="0"/>
              </w:numPr>
              <w:spacing w:line="579" w:lineRule="exact"/>
              <w:jc w:val="center"/>
              <w:rPr>
                <w:rFonts w:hint="default" w:ascii="仿宋" w:hAnsi="仿宋" w:eastAsia="仿宋" w:cs="仿宋"/>
                <w:b/>
                <w:bCs/>
                <w:sz w:val="32"/>
                <w:szCs w:val="32"/>
                <w:highlight w:val="none"/>
                <w:vertAlign w:val="baseline"/>
                <w:lang w:val="en-US" w:eastAsia="zh-CN"/>
              </w:rPr>
            </w:pPr>
            <w:r>
              <w:rPr>
                <w:rFonts w:hint="eastAsia" w:ascii="仿宋" w:hAnsi="仿宋" w:eastAsia="仿宋" w:cs="仿宋"/>
                <w:b/>
                <w:bCs/>
                <w:sz w:val="32"/>
                <w:szCs w:val="32"/>
                <w:highlight w:val="none"/>
                <w:vertAlign w:val="baseline"/>
                <w:lang w:val="en-US" w:eastAsia="zh-CN"/>
              </w:rPr>
              <w:t>设备设施名称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1</w:t>
            </w:r>
          </w:p>
        </w:tc>
        <w:tc>
          <w:tcPr>
            <w:tcW w:w="6128" w:type="dxa"/>
          </w:tcPr>
          <w:p>
            <w:pPr>
              <w:numPr>
                <w:ilvl w:val="0"/>
                <w:numId w:val="0"/>
              </w:numPr>
              <w:spacing w:line="579" w:lineRule="exact"/>
              <w:jc w:val="center"/>
              <w:rPr>
                <w:rFonts w:hint="default" w:ascii="仿宋" w:hAnsi="仿宋" w:eastAsia="仿宋" w:cs="仿宋"/>
                <w:b w:val="0"/>
                <w:bCs w:val="0"/>
                <w:sz w:val="32"/>
                <w:szCs w:val="32"/>
                <w:highlight w:val="none"/>
                <w:vertAlign w:val="baseline"/>
                <w:lang w:val="en-US" w:eastAsia="zh-CN"/>
              </w:rPr>
            </w:pPr>
            <w:r>
              <w:rPr>
                <w:rFonts w:hint="eastAsia" w:ascii="仿宋" w:hAnsi="仿宋" w:eastAsia="仿宋" w:cs="仿宋"/>
                <w:b w:val="0"/>
                <w:bCs w:val="0"/>
                <w:sz w:val="32"/>
                <w:szCs w:val="32"/>
                <w:highlight w:val="none"/>
                <w:vertAlign w:val="baseline"/>
                <w:lang w:val="en-US" w:eastAsia="zh-CN"/>
              </w:rPr>
              <w:t>提升泵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2</w:t>
            </w:r>
          </w:p>
        </w:tc>
        <w:tc>
          <w:tcPr>
            <w:tcW w:w="6128" w:type="dxa"/>
          </w:tcPr>
          <w:p>
            <w:pPr>
              <w:numPr>
                <w:ilvl w:val="0"/>
                <w:numId w:val="0"/>
              </w:numPr>
              <w:spacing w:line="579" w:lineRule="exact"/>
              <w:jc w:val="center"/>
              <w:rPr>
                <w:rFonts w:hint="default" w:ascii="仿宋" w:hAnsi="仿宋" w:eastAsia="仿宋" w:cs="仿宋"/>
                <w:b w:val="0"/>
                <w:bCs w:val="0"/>
                <w:sz w:val="32"/>
                <w:szCs w:val="32"/>
                <w:highlight w:val="none"/>
                <w:vertAlign w:val="baseline"/>
                <w:lang w:val="en-US" w:eastAsia="zh-CN"/>
              </w:rPr>
            </w:pPr>
            <w:r>
              <w:rPr>
                <w:rFonts w:hint="eastAsia" w:ascii="仿宋" w:hAnsi="仿宋" w:eastAsia="仿宋" w:cs="仿宋"/>
                <w:b w:val="0"/>
                <w:bCs w:val="0"/>
                <w:sz w:val="32"/>
                <w:szCs w:val="32"/>
                <w:highlight w:val="none"/>
                <w:vertAlign w:val="baseline"/>
                <w:lang w:val="en-US" w:eastAsia="zh-CN"/>
              </w:rPr>
              <w:t>余氯在线检测仪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3</w:t>
            </w:r>
          </w:p>
        </w:tc>
        <w:tc>
          <w:tcPr>
            <w:tcW w:w="6128" w:type="dxa"/>
          </w:tcPr>
          <w:p>
            <w:pPr>
              <w:numPr>
                <w:ilvl w:val="0"/>
                <w:numId w:val="0"/>
              </w:numPr>
              <w:spacing w:line="579" w:lineRule="exact"/>
              <w:jc w:val="center"/>
              <w:rPr>
                <w:rFonts w:hint="default" w:ascii="仿宋" w:hAnsi="仿宋" w:eastAsia="仿宋" w:cs="仿宋"/>
                <w:b w:val="0"/>
                <w:bCs w:val="0"/>
                <w:sz w:val="32"/>
                <w:szCs w:val="32"/>
                <w:highlight w:val="none"/>
                <w:vertAlign w:val="baseline"/>
                <w:lang w:val="en-US" w:eastAsia="zh-CN"/>
              </w:rPr>
            </w:pPr>
            <w:r>
              <w:rPr>
                <w:rFonts w:hint="eastAsia" w:ascii="仿宋" w:hAnsi="仿宋" w:eastAsia="仿宋" w:cs="仿宋"/>
                <w:b w:val="0"/>
                <w:bCs w:val="0"/>
                <w:sz w:val="32"/>
                <w:szCs w:val="32"/>
                <w:highlight w:val="none"/>
                <w:vertAlign w:val="baseline"/>
                <w:lang w:val="en-US" w:eastAsia="zh-CN"/>
              </w:rPr>
              <w:t>PH在线检测仪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4</w:t>
            </w:r>
          </w:p>
        </w:tc>
        <w:tc>
          <w:tcPr>
            <w:tcW w:w="6128" w:type="dxa"/>
          </w:tcPr>
          <w:p>
            <w:pPr>
              <w:numPr>
                <w:ilvl w:val="0"/>
                <w:numId w:val="0"/>
              </w:numPr>
              <w:spacing w:line="579" w:lineRule="exact"/>
              <w:jc w:val="center"/>
              <w:rPr>
                <w:rFonts w:hint="default" w:ascii="仿宋" w:hAnsi="仿宋" w:eastAsia="仿宋" w:cs="仿宋"/>
                <w:b w:val="0"/>
                <w:bCs w:val="0"/>
                <w:sz w:val="32"/>
                <w:szCs w:val="32"/>
                <w:highlight w:val="none"/>
                <w:vertAlign w:val="baseline"/>
                <w:lang w:val="en-US" w:eastAsia="zh-CN"/>
              </w:rPr>
            </w:pPr>
            <w:r>
              <w:rPr>
                <w:rFonts w:hint="eastAsia" w:ascii="仿宋" w:hAnsi="仿宋" w:eastAsia="仿宋" w:cs="仿宋"/>
                <w:b w:val="0"/>
                <w:bCs w:val="0"/>
                <w:sz w:val="32"/>
                <w:szCs w:val="32"/>
                <w:highlight w:val="none"/>
                <w:vertAlign w:val="baseline"/>
                <w:lang w:val="en-US" w:eastAsia="zh-CN"/>
              </w:rPr>
              <w:t>超声波流量计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5</w:t>
            </w:r>
          </w:p>
        </w:tc>
        <w:tc>
          <w:tcPr>
            <w:tcW w:w="6128" w:type="dxa"/>
          </w:tcPr>
          <w:p>
            <w:pPr>
              <w:numPr>
                <w:ilvl w:val="0"/>
                <w:numId w:val="0"/>
              </w:numPr>
              <w:spacing w:line="579" w:lineRule="exact"/>
              <w:jc w:val="center"/>
              <w:rPr>
                <w:rFonts w:hint="default" w:ascii="仿宋" w:hAnsi="仿宋" w:eastAsia="仿宋" w:cs="仿宋"/>
                <w:b w:val="0"/>
                <w:bCs w:val="0"/>
                <w:sz w:val="32"/>
                <w:szCs w:val="32"/>
                <w:highlight w:val="none"/>
                <w:vertAlign w:val="baseline"/>
                <w:lang w:val="en-US" w:eastAsia="zh-CN"/>
              </w:rPr>
            </w:pPr>
            <w:r>
              <w:rPr>
                <w:rFonts w:hint="eastAsia" w:ascii="仿宋" w:hAnsi="仿宋" w:eastAsia="仿宋" w:cs="仿宋"/>
                <w:b w:val="0"/>
                <w:bCs w:val="0"/>
                <w:sz w:val="32"/>
                <w:szCs w:val="32"/>
                <w:highlight w:val="none"/>
                <w:vertAlign w:val="baseline"/>
                <w:lang w:val="en-US" w:eastAsia="zh-CN"/>
              </w:rPr>
              <w:t>消毒加药装置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6</w:t>
            </w:r>
          </w:p>
        </w:tc>
        <w:tc>
          <w:tcPr>
            <w:tcW w:w="6128" w:type="dxa"/>
          </w:tcPr>
          <w:p>
            <w:pPr>
              <w:numPr>
                <w:ilvl w:val="0"/>
                <w:numId w:val="0"/>
              </w:numPr>
              <w:spacing w:line="579" w:lineRule="exact"/>
              <w:jc w:val="center"/>
              <w:rPr>
                <w:rFonts w:hint="default" w:ascii="仿宋" w:hAnsi="仿宋" w:eastAsia="仿宋" w:cs="仿宋"/>
                <w:b w:val="0"/>
                <w:bCs w:val="0"/>
                <w:sz w:val="32"/>
                <w:szCs w:val="32"/>
                <w:highlight w:val="none"/>
                <w:vertAlign w:val="baseline"/>
                <w:lang w:val="en-US" w:eastAsia="zh-CN"/>
              </w:rPr>
            </w:pPr>
            <w:r>
              <w:rPr>
                <w:rFonts w:hint="eastAsia" w:ascii="仿宋" w:hAnsi="仿宋" w:eastAsia="仿宋" w:cs="仿宋"/>
                <w:b w:val="0"/>
                <w:bCs w:val="0"/>
                <w:sz w:val="32"/>
                <w:szCs w:val="32"/>
                <w:highlight w:val="none"/>
                <w:vertAlign w:val="baseline"/>
                <w:lang w:val="en-US" w:eastAsia="zh-CN"/>
              </w:rPr>
              <w:t>废气除臭装置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numPr>
                <w:ilvl w:val="0"/>
                <w:numId w:val="0"/>
              </w:numPr>
              <w:spacing w:line="579" w:lineRule="exact"/>
              <w:ind w:left="0" w:leftChars="0" w:firstLine="0" w:firstLineChars="0"/>
              <w:jc w:val="center"/>
              <w:rPr>
                <w:rFonts w:hint="eastAsia"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7</w:t>
            </w:r>
          </w:p>
        </w:tc>
        <w:tc>
          <w:tcPr>
            <w:tcW w:w="6128" w:type="dxa"/>
          </w:tcPr>
          <w:p>
            <w:pPr>
              <w:numPr>
                <w:ilvl w:val="0"/>
                <w:numId w:val="0"/>
              </w:numPr>
              <w:spacing w:line="579" w:lineRule="exact"/>
              <w:jc w:val="center"/>
              <w:rPr>
                <w:rFonts w:hint="default" w:ascii="仿宋" w:hAnsi="仿宋" w:eastAsia="仿宋" w:cs="仿宋"/>
                <w:b w:val="0"/>
                <w:bCs w:val="0"/>
                <w:sz w:val="32"/>
                <w:szCs w:val="32"/>
                <w:highlight w:val="none"/>
                <w:vertAlign w:val="baseline"/>
                <w:lang w:val="en-US" w:eastAsia="zh-CN"/>
              </w:rPr>
            </w:pPr>
            <w:r>
              <w:rPr>
                <w:rFonts w:hint="eastAsia" w:ascii="仿宋" w:hAnsi="仿宋" w:eastAsia="仿宋" w:cs="仿宋"/>
                <w:b w:val="0"/>
                <w:bCs w:val="0"/>
                <w:sz w:val="32"/>
                <w:szCs w:val="32"/>
                <w:highlight w:val="none"/>
                <w:vertAlign w:val="baseline"/>
                <w:lang w:val="en-US" w:eastAsia="zh-CN"/>
              </w:rPr>
              <w:t>控制系统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8</w:t>
            </w:r>
          </w:p>
        </w:tc>
        <w:tc>
          <w:tcPr>
            <w:tcW w:w="6128" w:type="dxa"/>
          </w:tcPr>
          <w:p>
            <w:pPr>
              <w:numPr>
                <w:ilvl w:val="0"/>
                <w:numId w:val="0"/>
              </w:numPr>
              <w:spacing w:line="579" w:lineRule="exact"/>
              <w:jc w:val="center"/>
              <w:rPr>
                <w:rFonts w:hint="default" w:ascii="仿宋" w:hAnsi="仿宋" w:eastAsia="仿宋" w:cs="仿宋"/>
                <w:b w:val="0"/>
                <w:bCs w:val="0"/>
                <w:sz w:val="32"/>
                <w:szCs w:val="32"/>
                <w:highlight w:val="none"/>
                <w:vertAlign w:val="baseline"/>
                <w:lang w:val="en-US" w:eastAsia="zh-CN"/>
              </w:rPr>
            </w:pPr>
            <w:r>
              <w:rPr>
                <w:rFonts w:hint="eastAsia" w:ascii="仿宋" w:hAnsi="仿宋" w:eastAsia="仿宋" w:cs="仿宋"/>
                <w:b w:val="0"/>
                <w:bCs w:val="0"/>
                <w:sz w:val="32"/>
                <w:szCs w:val="32"/>
                <w:highlight w:val="none"/>
                <w:vertAlign w:val="baseline"/>
                <w:lang w:val="en-US" w:eastAsia="zh-CN"/>
              </w:rPr>
              <w:t>管道阀门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9</w:t>
            </w:r>
          </w:p>
        </w:tc>
        <w:tc>
          <w:tcPr>
            <w:tcW w:w="6128" w:type="dxa"/>
          </w:tcPr>
          <w:p>
            <w:pPr>
              <w:numPr>
                <w:ilvl w:val="0"/>
                <w:numId w:val="0"/>
              </w:numPr>
              <w:spacing w:line="579" w:lineRule="exact"/>
              <w:jc w:val="center"/>
              <w:rPr>
                <w:rFonts w:hint="default" w:ascii="仿宋" w:hAnsi="仿宋" w:eastAsia="仿宋" w:cs="仿宋"/>
                <w:b w:val="0"/>
                <w:bCs w:val="0"/>
                <w:sz w:val="32"/>
                <w:szCs w:val="32"/>
                <w:highlight w:val="none"/>
                <w:vertAlign w:val="baseline"/>
                <w:lang w:val="en-US" w:eastAsia="zh-CN"/>
              </w:rPr>
            </w:pPr>
            <w:r>
              <w:rPr>
                <w:rFonts w:hint="eastAsia" w:ascii="仿宋" w:hAnsi="仿宋" w:eastAsia="仿宋" w:cs="仿宋"/>
                <w:b w:val="0"/>
                <w:bCs w:val="0"/>
                <w:sz w:val="32"/>
                <w:szCs w:val="32"/>
                <w:highlight w:val="none"/>
                <w:vertAlign w:val="baseline"/>
                <w:lang w:val="en-US" w:eastAsia="zh-CN"/>
              </w:rPr>
              <w:t>其他</w:t>
            </w:r>
          </w:p>
        </w:tc>
      </w:tr>
    </w:tbl>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tabs>
          <w:tab w:val="center" w:pos="4153"/>
        </w:tabs>
        <w:spacing w:line="360" w:lineRule="auto"/>
        <w:jc w:val="both"/>
        <w:rPr>
          <w:rFonts w:hint="default" w:ascii="仿宋" w:hAnsi="仿宋" w:eastAsia="仿宋" w:cs="仿宋"/>
          <w:sz w:val="32"/>
          <w:szCs w:val="32"/>
          <w:highlight w:val="none"/>
          <w:lang w:val="en-US" w:eastAsia="zh-CN"/>
        </w:rPr>
      </w:pPr>
      <w:r>
        <w:rPr>
          <w:rFonts w:hint="eastAsia" w:ascii="Times New Roman" w:hAnsi="Times New Roman" w:eastAsia="宋体" w:cs="Times New Roman"/>
          <w:b w:val="0"/>
          <w:bCs w:val="0"/>
          <w:color w:val="000000"/>
          <w:sz w:val="28"/>
          <w:szCs w:val="28"/>
          <w:highlight w:val="none"/>
          <w:lang w:val="en-US" w:eastAsia="zh-CN"/>
        </w:rPr>
        <w:t>西区：</w:t>
      </w:r>
    </w:p>
    <w:tbl>
      <w:tblPr>
        <w:tblStyle w:val="5"/>
        <w:tblpPr w:leftFromText="180" w:rightFromText="180" w:vertAnchor="text" w:horzAnchor="page" w:tblpX="1698" w:tblpY="3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6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20" w:type="dxa"/>
          </w:tcPr>
          <w:p>
            <w:pPr>
              <w:numPr>
                <w:ilvl w:val="0"/>
                <w:numId w:val="0"/>
              </w:numPr>
              <w:spacing w:line="579" w:lineRule="exact"/>
              <w:jc w:val="center"/>
              <w:rPr>
                <w:rFonts w:hint="default" w:ascii="仿宋" w:hAnsi="仿宋" w:eastAsia="仿宋" w:cs="仿宋"/>
                <w:b/>
                <w:bCs/>
                <w:sz w:val="32"/>
                <w:szCs w:val="32"/>
                <w:highlight w:val="none"/>
                <w:vertAlign w:val="baseline"/>
                <w:lang w:val="en-US" w:eastAsia="zh-CN"/>
              </w:rPr>
            </w:pPr>
            <w:r>
              <w:rPr>
                <w:rFonts w:hint="eastAsia" w:ascii="仿宋" w:hAnsi="仿宋" w:eastAsia="仿宋" w:cs="仿宋"/>
                <w:b/>
                <w:bCs/>
                <w:sz w:val="32"/>
                <w:szCs w:val="32"/>
                <w:highlight w:val="none"/>
                <w:vertAlign w:val="baseline"/>
                <w:lang w:val="en-US" w:eastAsia="zh-CN"/>
              </w:rPr>
              <w:t>序号</w:t>
            </w:r>
          </w:p>
        </w:tc>
        <w:tc>
          <w:tcPr>
            <w:tcW w:w="6128" w:type="dxa"/>
          </w:tcPr>
          <w:p>
            <w:pPr>
              <w:numPr>
                <w:ilvl w:val="0"/>
                <w:numId w:val="0"/>
              </w:numPr>
              <w:spacing w:line="579" w:lineRule="exact"/>
              <w:jc w:val="center"/>
              <w:rPr>
                <w:rFonts w:hint="default" w:ascii="仿宋" w:hAnsi="仿宋" w:eastAsia="仿宋" w:cs="仿宋"/>
                <w:b/>
                <w:bCs/>
                <w:sz w:val="32"/>
                <w:szCs w:val="32"/>
                <w:highlight w:val="none"/>
                <w:vertAlign w:val="baseline"/>
                <w:lang w:val="en-US" w:eastAsia="zh-CN"/>
              </w:rPr>
            </w:pPr>
            <w:r>
              <w:rPr>
                <w:rFonts w:hint="eastAsia" w:ascii="仿宋" w:hAnsi="仿宋" w:eastAsia="仿宋" w:cs="仿宋"/>
                <w:b/>
                <w:bCs/>
                <w:sz w:val="32"/>
                <w:szCs w:val="32"/>
                <w:highlight w:val="none"/>
                <w:vertAlign w:val="baseline"/>
                <w:lang w:val="en-US" w:eastAsia="zh-CN"/>
              </w:rPr>
              <w:t>设备设施名称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1</w:t>
            </w:r>
          </w:p>
        </w:tc>
        <w:tc>
          <w:tcPr>
            <w:tcW w:w="6128"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提升泵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2</w:t>
            </w:r>
          </w:p>
        </w:tc>
        <w:tc>
          <w:tcPr>
            <w:tcW w:w="6128"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余氯在线检测仪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3</w:t>
            </w:r>
          </w:p>
        </w:tc>
        <w:tc>
          <w:tcPr>
            <w:tcW w:w="6128"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Ph在线检测仪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4</w:t>
            </w:r>
          </w:p>
        </w:tc>
        <w:tc>
          <w:tcPr>
            <w:tcW w:w="6128" w:type="dxa"/>
            <w:vAlign w:val="top"/>
          </w:tcPr>
          <w:p>
            <w:pPr>
              <w:numPr>
                <w:ilvl w:val="0"/>
                <w:numId w:val="0"/>
              </w:numPr>
              <w:spacing w:line="579" w:lineRule="exact"/>
              <w:ind w:left="0" w:leftChars="0" w:firstLine="0" w:firstLineChars="0"/>
              <w:jc w:val="center"/>
              <w:rPr>
                <w:rFonts w:hint="default" w:ascii="仿宋" w:hAnsi="仿宋" w:eastAsia="仿宋" w:cs="仿宋"/>
                <w:sz w:val="32"/>
                <w:szCs w:val="32"/>
                <w:highlight w:val="none"/>
                <w:vertAlign w:val="baseline"/>
                <w:lang w:val="en-US" w:eastAsia="zh-CN"/>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CODcr</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在线监测仪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5</w:t>
            </w:r>
          </w:p>
        </w:tc>
        <w:tc>
          <w:tcPr>
            <w:tcW w:w="6128" w:type="dxa"/>
            <w:vAlign w:val="top"/>
          </w:tcPr>
          <w:p>
            <w:pPr>
              <w:numPr>
                <w:ilvl w:val="0"/>
                <w:numId w:val="0"/>
              </w:numPr>
              <w:spacing w:line="579" w:lineRule="exact"/>
              <w:ind w:left="0" w:leftChars="0" w:firstLine="0" w:firstLineChars="0"/>
              <w:jc w:val="center"/>
              <w:rPr>
                <w:rFonts w:hint="eastAsia" w:ascii="仿宋" w:hAnsi="仿宋" w:eastAsia="仿宋" w:cs="仿宋"/>
                <w:sz w:val="32"/>
                <w:szCs w:val="32"/>
                <w:highlight w:val="none"/>
                <w:vertAlign w:val="baseline"/>
                <w:lang w:val="en-US" w:eastAsia="zh-CN"/>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氨氮</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在线监测仪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4</w:t>
            </w:r>
          </w:p>
        </w:tc>
        <w:tc>
          <w:tcPr>
            <w:tcW w:w="6128"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超声波流量计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5</w:t>
            </w:r>
          </w:p>
        </w:tc>
        <w:tc>
          <w:tcPr>
            <w:tcW w:w="6128"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消毒加药装置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6</w:t>
            </w:r>
          </w:p>
        </w:tc>
        <w:tc>
          <w:tcPr>
            <w:tcW w:w="6128"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废气除臭装置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7</w:t>
            </w:r>
          </w:p>
        </w:tc>
        <w:tc>
          <w:tcPr>
            <w:tcW w:w="6128"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kern w:val="2"/>
                <w:sz w:val="32"/>
                <w:szCs w:val="32"/>
                <w:highlight w:val="none"/>
                <w:vertAlign w:val="baseline"/>
                <w:lang w:val="en-US" w:eastAsia="zh-CN" w:bidi="ar-SA"/>
              </w:rPr>
              <w:t>碳源投加装置（增加）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8</w:t>
            </w:r>
          </w:p>
        </w:tc>
        <w:tc>
          <w:tcPr>
            <w:tcW w:w="6128"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kern w:val="2"/>
                <w:sz w:val="32"/>
                <w:szCs w:val="32"/>
                <w:highlight w:val="none"/>
                <w:vertAlign w:val="baseline"/>
                <w:lang w:val="en-US" w:eastAsia="zh-CN" w:bidi="ar-SA"/>
              </w:rPr>
              <w:t>一体化沉淀设备（增加）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9</w:t>
            </w:r>
          </w:p>
        </w:tc>
        <w:tc>
          <w:tcPr>
            <w:tcW w:w="6128"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污泥泵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10</w:t>
            </w:r>
          </w:p>
        </w:tc>
        <w:tc>
          <w:tcPr>
            <w:tcW w:w="6128"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曝气风机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numPr>
                <w:ilvl w:val="0"/>
                <w:numId w:val="0"/>
              </w:numPr>
              <w:spacing w:line="579" w:lineRule="exact"/>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11</w:t>
            </w:r>
          </w:p>
        </w:tc>
        <w:tc>
          <w:tcPr>
            <w:tcW w:w="6128"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kern w:val="2"/>
                <w:sz w:val="32"/>
                <w:szCs w:val="32"/>
                <w:highlight w:val="none"/>
                <w:vertAlign w:val="baseline"/>
                <w:lang w:val="en-US" w:eastAsia="zh-CN" w:bidi="ar-SA"/>
              </w:rPr>
              <w:t>控制系统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12</w:t>
            </w:r>
          </w:p>
        </w:tc>
        <w:tc>
          <w:tcPr>
            <w:tcW w:w="6128" w:type="dxa"/>
            <w:vAlign w:val="top"/>
          </w:tcPr>
          <w:p>
            <w:pPr>
              <w:numPr>
                <w:ilvl w:val="0"/>
                <w:numId w:val="0"/>
              </w:numPr>
              <w:spacing w:line="579" w:lineRule="exact"/>
              <w:ind w:left="0" w:leftChars="0" w:firstLine="0" w:firstLineChars="0"/>
              <w:jc w:val="center"/>
              <w:rPr>
                <w:rFonts w:hint="eastAsia"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管道阀门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numPr>
                <w:ilvl w:val="0"/>
                <w:numId w:val="0"/>
              </w:numPr>
              <w:spacing w:line="579" w:lineRule="exact"/>
              <w:ind w:left="0" w:leftChars="0" w:firstLine="0" w:firstLineChars="0"/>
              <w:jc w:val="center"/>
              <w:rPr>
                <w:rFonts w:hint="default"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13</w:t>
            </w:r>
          </w:p>
        </w:tc>
        <w:tc>
          <w:tcPr>
            <w:tcW w:w="6128" w:type="dxa"/>
            <w:vAlign w:val="top"/>
          </w:tcPr>
          <w:p>
            <w:pPr>
              <w:numPr>
                <w:ilvl w:val="0"/>
                <w:numId w:val="0"/>
              </w:numPr>
              <w:spacing w:line="579" w:lineRule="exact"/>
              <w:ind w:left="0" w:leftChars="0" w:firstLine="0" w:firstLineChars="0"/>
              <w:jc w:val="center"/>
              <w:rPr>
                <w:rFonts w:hint="eastAsia" w:ascii="仿宋" w:hAnsi="仿宋" w:eastAsia="仿宋" w:cs="仿宋"/>
                <w:kern w:val="2"/>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rPr>
              <w:t>其他</w:t>
            </w:r>
          </w:p>
        </w:tc>
      </w:tr>
    </w:tbl>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tabs>
          <w:tab w:val="center" w:pos="4153"/>
        </w:tabs>
        <w:spacing w:line="360" w:lineRule="auto"/>
        <w:jc w:val="both"/>
        <w:rPr>
          <w:rFonts w:hint="default" w:ascii="仿宋" w:hAnsi="仿宋" w:eastAsia="仿宋" w:cs="仿宋"/>
          <w:sz w:val="32"/>
          <w:szCs w:val="32"/>
          <w:lang w:val="en-US" w:eastAsia="zh-CN"/>
        </w:rPr>
      </w:pPr>
      <w:r>
        <w:rPr>
          <w:rFonts w:hint="eastAsia" w:asciiTheme="minorEastAsia" w:hAnsiTheme="minorEastAsia" w:eastAsiaTheme="minorEastAsia" w:cstheme="minorEastAsia"/>
          <w:sz w:val="28"/>
          <w:szCs w:val="28"/>
          <w:lang w:val="en-US" w:eastAsia="zh-CN"/>
        </w:rPr>
        <w:t>附件1：污水处理站免费更换配件清单</w:t>
      </w:r>
    </w:p>
    <w:tbl>
      <w:tblPr>
        <w:tblStyle w:val="4"/>
        <w:tblpPr w:leftFromText="180" w:rightFromText="180" w:vertAnchor="page" w:horzAnchor="page" w:tblpX="1907" w:tblpY="2770"/>
        <w:tblOverlap w:val="never"/>
        <w:tblW w:w="75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16"/>
        <w:gridCol w:w="1386"/>
        <w:gridCol w:w="2976"/>
        <w:gridCol w:w="20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序号</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设备名称</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规格型号</w:t>
            </w:r>
          </w:p>
        </w:tc>
        <w:tc>
          <w:tcPr>
            <w:tcW w:w="2079" w:type="dxa"/>
            <w:noWrap w:val="0"/>
            <w:vAlign w:val="center"/>
          </w:tcPr>
          <w:p>
            <w:pPr>
              <w:ind w:right="76" w:rightChars="36"/>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1</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空开</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2P</w:t>
            </w:r>
            <w:r>
              <w:rPr>
                <w:rFonts w:hint="eastAsia" w:asciiTheme="minorEastAsia" w:hAnsiTheme="minorEastAsia" w:eastAsiaTheme="minorEastAsia" w:cstheme="minorEastAsia"/>
                <w:color w:val="000000"/>
                <w:kern w:val="0"/>
                <w:sz w:val="28"/>
                <w:szCs w:val="28"/>
                <w:lang w:val="en-US" w:eastAsia="zh-CN"/>
              </w:rPr>
              <w:t>或3P</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2</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交流接触器</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10A</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3</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钢丝软管</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rPr>
            </w:pPr>
            <w:r>
              <w:rPr>
                <w:rFonts w:hint="eastAsia" w:asciiTheme="minorEastAsia" w:hAnsiTheme="minorEastAsia" w:eastAsiaTheme="minorEastAsia" w:cstheme="minorEastAsia"/>
                <w:color w:val="000000"/>
                <w:kern w:val="0"/>
                <w:sz w:val="28"/>
                <w:szCs w:val="28"/>
              </w:rPr>
              <w:t>DN50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4</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热继电器</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　4A</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5</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二次线路电缆</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0.75mm2</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6</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管箍</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DN50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7</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按钮</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rPr>
            </w:pP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8</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指示灯</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rPr>
            </w:pP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9</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水泵螺栓</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10</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液位计</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0-4米</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11</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蝶阀</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DN150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12</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蝶阀</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DN100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13</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蝶阀</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DN80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14</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止回阀</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DN150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15</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止回阀</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DN50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16</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活接</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DN50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17</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人工格栅</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800*800mm</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18</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管道</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DN150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19</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管道</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DN100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20</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管道</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DN80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21</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管道</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DN50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22</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管道</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DN40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23</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管道</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DN32</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24</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管道</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DN25</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25</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管道</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DN20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26</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风机机油</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27</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风机黄油</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28</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曝气头</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Ø215</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29</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曝气管道</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DN80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30</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填料</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2500mm</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立方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31</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法兰</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DN150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32</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法兰</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DN100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33</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法兰</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DN80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34</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法兰</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DN50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1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35</w:t>
            </w:r>
          </w:p>
        </w:tc>
        <w:tc>
          <w:tcPr>
            <w:tcW w:w="138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法兰</w:t>
            </w:r>
          </w:p>
        </w:tc>
        <w:tc>
          <w:tcPr>
            <w:tcW w:w="2976"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DN40</w:t>
            </w:r>
          </w:p>
        </w:tc>
        <w:tc>
          <w:tcPr>
            <w:tcW w:w="2079"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bl>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default" w:ascii="仿宋" w:hAnsi="仿宋" w:eastAsia="仿宋" w:cs="仿宋"/>
          <w:sz w:val="32"/>
          <w:szCs w:val="32"/>
          <w:highlight w:val="none"/>
          <w:lang w:val="en-US" w:eastAsia="zh-CN"/>
        </w:rPr>
      </w:pPr>
    </w:p>
    <w:p>
      <w:pPr>
        <w:numPr>
          <w:ilvl w:val="0"/>
          <w:numId w:val="0"/>
        </w:numPr>
        <w:spacing w:line="579" w:lineRule="exact"/>
        <w:rPr>
          <w:rFonts w:hint="eastAsia" w:ascii="仿宋" w:hAnsi="仿宋" w:eastAsia="仿宋" w:cs="仿宋"/>
          <w:sz w:val="32"/>
          <w:szCs w:val="32"/>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spacing w:line="579" w:lineRule="exact"/>
        <w:rPr>
          <w:rFonts w:hint="eastAsia" w:asciiTheme="minorEastAsia" w:hAnsiTheme="minorEastAsia" w:eastAsiaTheme="minorEastAsia" w:cstheme="minorEastAsia"/>
          <w:b/>
          <w:bCs/>
          <w:sz w:val="28"/>
          <w:szCs w:val="28"/>
          <w:highlight w:val="none"/>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numPr>
          <w:ilvl w:val="0"/>
          <w:numId w:val="0"/>
        </w:numPr>
        <w:spacing w:line="579" w:lineRule="exact"/>
        <w:rPr>
          <w:rFonts w:hint="default" w:ascii="仿宋" w:hAnsi="仿宋" w:eastAsia="仿宋" w:cs="仿宋"/>
          <w:sz w:val="32"/>
          <w:szCs w:val="32"/>
          <w:lang w:val="en-US" w:eastAsia="zh-CN"/>
        </w:rPr>
      </w:pP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附件2：污水处理站收费维修更换配件清单</w:t>
      </w:r>
    </w:p>
    <w:p>
      <w:pPr>
        <w:numPr>
          <w:ilvl w:val="0"/>
          <w:numId w:val="0"/>
        </w:numPr>
        <w:tabs>
          <w:tab w:val="center" w:pos="4153"/>
        </w:tabs>
        <w:spacing w:line="360" w:lineRule="auto"/>
        <w:jc w:val="both"/>
        <w:rPr>
          <w:rFonts w:hint="eastAsia" w:asciiTheme="minorEastAsia" w:hAnsiTheme="minorEastAsia" w:eastAsiaTheme="minorEastAsia" w:cstheme="minorEastAsia"/>
          <w:sz w:val="28"/>
          <w:szCs w:val="28"/>
          <w:lang w:val="en-US" w:eastAsia="zh-CN"/>
        </w:rPr>
      </w:pPr>
    </w:p>
    <w:p>
      <w:pPr>
        <w:spacing w:line="360" w:lineRule="auto"/>
        <w:jc w:val="both"/>
        <w:rPr>
          <w:rFonts w:hint="eastAsia" w:asciiTheme="minorEastAsia" w:hAnsiTheme="minorEastAsia" w:eastAsiaTheme="minorEastAsia" w:cstheme="minorEastAsia"/>
          <w:sz w:val="28"/>
          <w:szCs w:val="28"/>
          <w:lang w:val="en-US" w:eastAsia="zh-CN"/>
        </w:rPr>
      </w:pPr>
    </w:p>
    <w:p>
      <w:pPr>
        <w:spacing w:line="360" w:lineRule="auto"/>
        <w:jc w:val="both"/>
        <w:rPr>
          <w:rFonts w:hint="eastAsia" w:asciiTheme="minorEastAsia" w:hAnsiTheme="minorEastAsia" w:eastAsiaTheme="minorEastAsia" w:cstheme="minorEastAsia"/>
          <w:sz w:val="28"/>
          <w:szCs w:val="28"/>
          <w:lang w:val="en-US" w:eastAsia="zh-CN"/>
        </w:rPr>
      </w:pPr>
      <w:bookmarkStart w:id="0" w:name="_Toc294717664"/>
    </w:p>
    <w:bookmarkEnd w:id="0"/>
    <w:p>
      <w:pPr>
        <w:jc w:val="left"/>
        <w:rPr>
          <w:rFonts w:hint="eastAsia" w:asciiTheme="minorEastAsia" w:hAnsiTheme="minorEastAsia" w:eastAsiaTheme="minorEastAsia" w:cstheme="minorEastAsia"/>
          <w:sz w:val="28"/>
          <w:szCs w:val="28"/>
          <w:lang w:eastAsia="zh-CN"/>
        </w:rPr>
      </w:pPr>
    </w:p>
    <w:p>
      <w:pPr>
        <w:jc w:val="left"/>
        <w:rPr>
          <w:rFonts w:hint="eastAsia" w:asciiTheme="minorEastAsia" w:hAnsiTheme="minorEastAsia" w:eastAsiaTheme="minorEastAsia" w:cstheme="minorEastAsia"/>
          <w:sz w:val="28"/>
          <w:szCs w:val="28"/>
          <w:lang w:eastAsia="zh-CN"/>
        </w:rPr>
      </w:pPr>
    </w:p>
    <w:p>
      <w:pPr>
        <w:jc w:val="left"/>
        <w:rPr>
          <w:rFonts w:hint="eastAsia" w:asciiTheme="minorEastAsia" w:hAnsiTheme="minorEastAsia" w:eastAsiaTheme="minorEastAsia" w:cstheme="minorEastAsia"/>
          <w:sz w:val="28"/>
          <w:szCs w:val="28"/>
          <w:lang w:eastAsia="zh-CN"/>
        </w:rPr>
      </w:pPr>
    </w:p>
    <w:p>
      <w:pPr>
        <w:numPr>
          <w:ilvl w:val="0"/>
          <w:numId w:val="0"/>
        </w:numPr>
        <w:tabs>
          <w:tab w:val="center" w:pos="4153"/>
        </w:tabs>
        <w:spacing w:line="360" w:lineRule="auto"/>
        <w:ind w:firstLine="560" w:firstLineChars="200"/>
        <w:jc w:val="both"/>
        <w:rPr>
          <w:rFonts w:hint="eastAsia" w:asciiTheme="minorEastAsia" w:hAnsiTheme="minorEastAsia" w:eastAsiaTheme="minorEastAsia" w:cstheme="minorEastAsia"/>
          <w:sz w:val="28"/>
          <w:szCs w:val="28"/>
          <w:lang w:val="en-US" w:eastAsia="zh-CN"/>
        </w:rPr>
      </w:pPr>
    </w:p>
    <w:tbl>
      <w:tblPr>
        <w:tblStyle w:val="4"/>
        <w:tblpPr w:leftFromText="180" w:rightFromText="180" w:vertAnchor="page" w:horzAnchor="page" w:tblpX="2235" w:tblpY="2880"/>
        <w:tblOverlap w:val="never"/>
        <w:tblW w:w="78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5"/>
        <w:gridCol w:w="2620"/>
        <w:gridCol w:w="2273"/>
        <w:gridCol w:w="22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序号</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设备名称</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规格型号</w:t>
            </w:r>
          </w:p>
        </w:tc>
        <w:tc>
          <w:tcPr>
            <w:tcW w:w="2215" w:type="dxa"/>
            <w:tcBorders>
              <w:right w:val="single" w:color="auto" w:sz="4" w:space="0"/>
            </w:tcBorders>
            <w:noWrap w:val="0"/>
            <w:vAlign w:val="center"/>
          </w:tcPr>
          <w:p>
            <w:pPr>
              <w:ind w:right="76" w:rightChars="36"/>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1</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维修曝气机机头</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11KW</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更换曝气机机头</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11KW</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3</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更换曝气机电机</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11KW</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eastAsia="zh-CN"/>
              </w:rPr>
            </w:pPr>
            <w:r>
              <w:rPr>
                <w:rFonts w:hint="eastAsia" w:asciiTheme="minorEastAsia" w:hAnsiTheme="minorEastAsia" w:eastAsiaTheme="minorEastAsia" w:cstheme="minorEastAsia"/>
                <w:color w:val="000000"/>
                <w:kern w:val="0"/>
                <w:sz w:val="28"/>
                <w:szCs w:val="28"/>
                <w:lang w:val="en-US" w:eastAsia="zh-CN"/>
              </w:rPr>
              <w:t>4</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维修曝气机电机</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11KW</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eastAsia="zh-CN"/>
              </w:rPr>
            </w:pPr>
            <w:r>
              <w:rPr>
                <w:rFonts w:hint="eastAsia" w:asciiTheme="minorEastAsia" w:hAnsiTheme="minorEastAsia" w:eastAsiaTheme="minorEastAsia" w:cstheme="minorEastAsia"/>
                <w:color w:val="000000"/>
                <w:kern w:val="0"/>
                <w:sz w:val="28"/>
                <w:szCs w:val="28"/>
                <w:lang w:val="en-US" w:eastAsia="zh-CN"/>
              </w:rPr>
              <w:t>5</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更换曝气机进出口消声器</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150mm</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eastAsia="zh-CN"/>
              </w:rPr>
            </w:pPr>
            <w:r>
              <w:rPr>
                <w:rFonts w:hint="eastAsia" w:asciiTheme="minorEastAsia" w:hAnsiTheme="minorEastAsia" w:eastAsiaTheme="minorEastAsia" w:cstheme="minorEastAsia"/>
                <w:color w:val="000000"/>
                <w:kern w:val="0"/>
                <w:sz w:val="28"/>
                <w:szCs w:val="28"/>
                <w:lang w:val="en-US" w:eastAsia="zh-CN"/>
              </w:rPr>
              <w:t>6</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更换控制柜PLC触摸屏</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12寸</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eastAsia="zh-CN"/>
              </w:rPr>
            </w:pPr>
            <w:r>
              <w:rPr>
                <w:rFonts w:hint="eastAsia" w:asciiTheme="minorEastAsia" w:hAnsiTheme="minorEastAsia" w:eastAsiaTheme="minorEastAsia" w:cstheme="minorEastAsia"/>
                <w:color w:val="000000"/>
                <w:kern w:val="0"/>
                <w:sz w:val="28"/>
                <w:szCs w:val="28"/>
                <w:lang w:val="en-US" w:eastAsia="zh-CN"/>
              </w:rPr>
              <w:t>7</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更换控制柜PLC控制模块</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64-120点位</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8</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更换控制柜总空开</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125A</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9</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维修调节池提升泵</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3KW</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10</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更换调节池提神泵</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3KW</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11</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eastAsia="zh-CN"/>
              </w:rPr>
            </w:pPr>
            <w:r>
              <w:rPr>
                <w:rFonts w:hint="eastAsia" w:asciiTheme="minorEastAsia" w:hAnsiTheme="minorEastAsia" w:eastAsiaTheme="minorEastAsia" w:cstheme="minorEastAsia"/>
                <w:color w:val="000000"/>
                <w:kern w:val="0"/>
                <w:sz w:val="28"/>
                <w:szCs w:val="28"/>
                <w:lang w:val="en-US" w:eastAsia="zh-CN"/>
              </w:rPr>
              <w:t>维修计量泵</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60L</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12</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更换计量泵</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60L</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13</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eastAsia="zh-CN"/>
              </w:rPr>
            </w:pPr>
            <w:r>
              <w:rPr>
                <w:rFonts w:hint="eastAsia" w:asciiTheme="minorEastAsia" w:hAnsiTheme="minorEastAsia" w:eastAsiaTheme="minorEastAsia" w:cstheme="minorEastAsia"/>
                <w:color w:val="000000"/>
                <w:kern w:val="0"/>
                <w:sz w:val="28"/>
                <w:szCs w:val="28"/>
                <w:lang w:val="en-US" w:eastAsia="zh-CN"/>
              </w:rPr>
              <w:t>维修储药箱</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2.5m³</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14</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eastAsia="zh-CN"/>
              </w:rPr>
            </w:pPr>
            <w:r>
              <w:rPr>
                <w:rFonts w:hint="eastAsia" w:asciiTheme="minorEastAsia" w:hAnsiTheme="minorEastAsia" w:eastAsiaTheme="minorEastAsia" w:cstheme="minorEastAsia"/>
                <w:color w:val="000000"/>
                <w:kern w:val="0"/>
                <w:sz w:val="28"/>
                <w:szCs w:val="28"/>
                <w:lang w:val="en-US" w:eastAsia="zh-CN"/>
              </w:rPr>
              <w:t>维修格栅机</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600mm</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15</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更换格栅机</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600mm</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16</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维修回流泵</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1.1KW</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17</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更换回流泵</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1.1KW</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18</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维修填料支架</w:t>
            </w:r>
          </w:p>
        </w:tc>
        <w:tc>
          <w:tcPr>
            <w:tcW w:w="2273" w:type="dxa"/>
            <w:noWrap w:val="0"/>
            <w:vAlign w:val="center"/>
          </w:tcPr>
          <w:p>
            <w:pPr>
              <w:jc w:val="both"/>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 xml:space="preserve">      </w:t>
            </w: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平方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05"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19</w:t>
            </w:r>
          </w:p>
        </w:tc>
        <w:tc>
          <w:tcPr>
            <w:tcW w:w="2620"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更换填料支架</w:t>
            </w:r>
          </w:p>
        </w:tc>
        <w:tc>
          <w:tcPr>
            <w:tcW w:w="2273" w:type="dxa"/>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p>
        </w:tc>
        <w:tc>
          <w:tcPr>
            <w:tcW w:w="2215" w:type="dxa"/>
            <w:tcBorders>
              <w:right w:val="single" w:color="auto" w:sz="4" w:space="0"/>
            </w:tcBorders>
            <w:noWrap w:val="0"/>
            <w:vAlign w:val="center"/>
          </w:tcPr>
          <w:p>
            <w:pPr>
              <w:jc w:val="center"/>
              <w:rPr>
                <w:rFonts w:hint="eastAsia" w:asciiTheme="minorEastAsia" w:hAnsiTheme="minorEastAsia" w:eastAsiaTheme="minorEastAsia" w:cstheme="minorEastAsia"/>
                <w:color w:val="000000"/>
                <w:kern w:val="0"/>
                <w:sz w:val="28"/>
                <w:szCs w:val="28"/>
                <w:lang w:val="en-US" w:eastAsia="zh-CN"/>
              </w:rPr>
            </w:pPr>
            <w:r>
              <w:rPr>
                <w:rFonts w:hint="eastAsia" w:asciiTheme="minorEastAsia" w:hAnsiTheme="minorEastAsia" w:eastAsiaTheme="minorEastAsia" w:cstheme="minorEastAsia"/>
                <w:color w:val="000000"/>
                <w:kern w:val="0"/>
                <w:sz w:val="28"/>
                <w:szCs w:val="28"/>
                <w:lang w:val="en-US" w:eastAsia="zh-CN"/>
              </w:rPr>
              <w:t>平方</w:t>
            </w:r>
          </w:p>
        </w:tc>
      </w:tr>
    </w:tbl>
    <w:p>
      <w:pPr>
        <w:numPr>
          <w:ilvl w:val="0"/>
          <w:numId w:val="0"/>
        </w:numPr>
        <w:tabs>
          <w:tab w:val="center" w:pos="4153"/>
        </w:tabs>
        <w:spacing w:line="360" w:lineRule="auto"/>
        <w:ind w:firstLine="560" w:firstLineChars="200"/>
        <w:jc w:val="both"/>
        <w:rPr>
          <w:rFonts w:hint="default" w:ascii="宋体" w:hAnsi="宋体" w:eastAsia="宋体" w:cs="宋体"/>
          <w:sz w:val="28"/>
          <w:szCs w:val="28"/>
          <w:lang w:val="en-US" w:eastAsia="zh-CN"/>
        </w:rPr>
      </w:pPr>
    </w:p>
    <w:p>
      <w:pPr>
        <w:jc w:val="left"/>
        <w:rPr>
          <w:rFonts w:hint="eastAsia"/>
          <w:sz w:val="36"/>
          <w:szCs w:val="36"/>
          <w:lang w:eastAsia="zh-CN"/>
        </w:rPr>
      </w:pPr>
    </w:p>
    <w:p>
      <w:pPr>
        <w:jc w:val="left"/>
        <w:rPr>
          <w:rFonts w:hint="eastAsia"/>
          <w:sz w:val="36"/>
          <w:szCs w:val="36"/>
          <w:lang w:eastAsia="zh-CN"/>
        </w:rPr>
      </w:pPr>
    </w:p>
    <w:p>
      <w:pPr>
        <w:jc w:val="left"/>
        <w:rPr>
          <w:rFonts w:hint="eastAsia"/>
          <w:sz w:val="36"/>
          <w:szCs w:val="36"/>
          <w:lang w:eastAsia="zh-CN"/>
        </w:rPr>
      </w:pPr>
    </w:p>
    <w:p>
      <w:pPr>
        <w:jc w:val="left"/>
        <w:rPr>
          <w:rFonts w:hint="eastAsia"/>
          <w:sz w:val="36"/>
          <w:szCs w:val="36"/>
          <w:lang w:eastAsia="zh-CN"/>
        </w:rPr>
      </w:pPr>
    </w:p>
    <w:p>
      <w:pPr>
        <w:jc w:val="left"/>
        <w:rPr>
          <w:rFonts w:hint="eastAsia"/>
          <w:sz w:val="36"/>
          <w:szCs w:val="36"/>
          <w:lang w:eastAsia="zh-CN"/>
        </w:rPr>
      </w:pPr>
    </w:p>
    <w:p>
      <w:pPr>
        <w:jc w:val="left"/>
        <w:rPr>
          <w:rFonts w:hint="eastAsia"/>
          <w:sz w:val="36"/>
          <w:szCs w:val="36"/>
          <w:lang w:eastAsia="zh-CN"/>
        </w:rPr>
      </w:pPr>
    </w:p>
    <w:p>
      <w:pPr>
        <w:jc w:val="left"/>
        <w:rPr>
          <w:rFonts w:hint="eastAsia"/>
          <w:sz w:val="36"/>
          <w:szCs w:val="36"/>
          <w:lang w:eastAsia="zh-CN"/>
        </w:rPr>
      </w:pPr>
    </w:p>
    <w:p>
      <w:pPr>
        <w:jc w:val="left"/>
        <w:rPr>
          <w:rFonts w:hint="eastAsia"/>
          <w:sz w:val="36"/>
          <w:szCs w:val="36"/>
          <w:lang w:eastAsia="zh-CN"/>
        </w:rPr>
      </w:pPr>
    </w:p>
    <w:p>
      <w:pPr>
        <w:jc w:val="left"/>
        <w:rPr>
          <w:rFonts w:hint="eastAsia"/>
          <w:sz w:val="36"/>
          <w:szCs w:val="36"/>
          <w:lang w:eastAsia="zh-CN"/>
        </w:rPr>
      </w:pPr>
    </w:p>
    <w:tbl>
      <w:tblPr>
        <w:tblStyle w:val="4"/>
        <w:tblW w:w="88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0"/>
        <w:gridCol w:w="1663"/>
        <w:gridCol w:w="1303"/>
        <w:gridCol w:w="52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trPr>
        <w:tc>
          <w:tcPr>
            <w:tcW w:w="8858" w:type="dxa"/>
            <w:gridSpan w:val="4"/>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ascii="黑体" w:hAnsi="宋体" w:eastAsia="黑体" w:cs="黑体"/>
                <w:b/>
                <w:bCs/>
                <w:i w:val="0"/>
                <w:iCs w:val="0"/>
                <w:color w:val="000000"/>
                <w:sz w:val="44"/>
                <w:szCs w:val="44"/>
                <w:u w:val="none"/>
              </w:rPr>
            </w:pPr>
            <w:r>
              <w:rPr>
                <w:rFonts w:hint="eastAsia" w:ascii="黑体" w:hAnsi="宋体" w:eastAsia="黑体" w:cs="黑体"/>
                <w:b/>
                <w:bCs/>
                <w:i w:val="0"/>
                <w:iCs w:val="0"/>
                <w:color w:val="000000"/>
                <w:kern w:val="0"/>
                <w:sz w:val="44"/>
                <w:szCs w:val="44"/>
                <w:u w:val="none"/>
                <w:lang w:val="en-US" w:eastAsia="zh-CN" w:bidi="ar"/>
              </w:rPr>
              <w:t>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66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报价内容</w:t>
            </w:r>
          </w:p>
        </w:tc>
        <w:tc>
          <w:tcPr>
            <w:tcW w:w="13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年度费用（万元）</w:t>
            </w:r>
          </w:p>
        </w:tc>
        <w:tc>
          <w:tcPr>
            <w:tcW w:w="52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4" w:hRule="atLeast"/>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6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污废水处理工及技术人员</w:t>
            </w:r>
          </w:p>
        </w:tc>
        <w:tc>
          <w:tcPr>
            <w:tcW w:w="13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default" w:ascii="宋体" w:hAnsi="宋体" w:eastAsia="宋体" w:cs="宋体"/>
                <w:i w:val="0"/>
                <w:iCs w:val="0"/>
                <w:color w:val="000000"/>
                <w:sz w:val="21"/>
                <w:szCs w:val="21"/>
                <w:u w:val="none"/>
              </w:rPr>
            </w:pPr>
          </w:p>
        </w:tc>
        <w:tc>
          <w:tcPr>
            <w:tcW w:w="52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污水处理站设施设备操作及日常管理工作，确保医院污水达标排放。2.污水处理站的控制机房设施日常基本维护。3.污水处理站的安全生产工作。4.污水处理站药剂和油料的保管、投放工作。5.在线监测设备的日常运行及相关数据上传工作。6.负责排水水质的监测。7.污水处理站废物的处置。8.如出现排放指标超标情况，由此发生的环保部门行政处罚及罚款由运维单位负责。9.配合相关上级部门各类检查及档案建档管理。10.每月的10号前提供一份上个月的运维月总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66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药剂费</w:t>
            </w:r>
          </w:p>
        </w:tc>
        <w:tc>
          <w:tcPr>
            <w:tcW w:w="13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default" w:ascii="宋体" w:hAnsi="宋体" w:eastAsia="宋体" w:cs="宋体"/>
                <w:i w:val="0"/>
                <w:iCs w:val="0"/>
                <w:color w:val="000000"/>
                <w:sz w:val="21"/>
                <w:szCs w:val="21"/>
                <w:u w:val="none"/>
                <w:lang w:val="en-US" w:eastAsia="zh-CN"/>
              </w:rPr>
            </w:pPr>
          </w:p>
        </w:tc>
        <w:tc>
          <w:tcPr>
            <w:tcW w:w="52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包含次氯酸钠、COD（氨氮）试剂、手工余氯药剂、</w:t>
            </w:r>
            <w:r>
              <w:rPr>
                <w:rFonts w:hint="eastAsia" w:ascii="宋体" w:hAnsi="宋体" w:eastAsia="宋体" w:cs="宋体"/>
                <w:b w:val="0"/>
                <w:bCs w:val="0"/>
                <w:color w:val="000000"/>
                <w:sz w:val="21"/>
                <w:szCs w:val="21"/>
                <w:highlight w:val="none"/>
                <w:lang w:val="en-US" w:eastAsia="zh-CN"/>
              </w:rPr>
              <w:t>碳源投加、污泥菌种、PAC（含量不低于28%）、PAM药剂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66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工艺设备更换及维护保养费（在站内冷备易损耗材料及备品备件，包括水泵、阀门、管线、电气元件）</w:t>
            </w:r>
          </w:p>
        </w:tc>
        <w:tc>
          <w:tcPr>
            <w:tcW w:w="13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default" w:ascii="宋体" w:hAnsi="宋体" w:eastAsia="宋体" w:cs="宋体"/>
                <w:i w:val="0"/>
                <w:iCs w:val="0"/>
                <w:color w:val="000000"/>
                <w:sz w:val="21"/>
                <w:szCs w:val="21"/>
                <w:u w:val="none"/>
                <w:lang w:val="en-US" w:eastAsia="zh-CN"/>
              </w:rPr>
            </w:pPr>
          </w:p>
        </w:tc>
        <w:tc>
          <w:tcPr>
            <w:tcW w:w="52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运维期间所有损坏的材料及设备维修（免费清单中的材料免费更换，付费清单中的材料或设备由甲方确认后更换或维修）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66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在线监测设备维护及保养费（在站内冷备易损耗材料及备品备件）</w:t>
            </w:r>
          </w:p>
        </w:tc>
        <w:tc>
          <w:tcPr>
            <w:tcW w:w="13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default" w:ascii="宋体" w:hAnsi="宋体" w:eastAsia="宋体" w:cs="宋体"/>
                <w:i w:val="0"/>
                <w:iCs w:val="0"/>
                <w:color w:val="000000"/>
                <w:sz w:val="21"/>
                <w:szCs w:val="21"/>
                <w:u w:val="none"/>
                <w:lang w:eastAsia="zh-CN"/>
              </w:rPr>
            </w:pPr>
          </w:p>
        </w:tc>
        <w:tc>
          <w:tcPr>
            <w:tcW w:w="52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含COD、氨氮、水质采样器、余氯、数采仪、PH、流量计等在线设备维护保养维修（免费清单中的材料免费更换，付费清单中的材料或设备由甲方确认后更换或维修）、年度强检费用。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视频监控设备安装</w:t>
            </w:r>
          </w:p>
        </w:tc>
        <w:tc>
          <w:tcPr>
            <w:tcW w:w="13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1"/>
                <w:szCs w:val="21"/>
                <w:u w:val="none"/>
                <w:lang w:val="en-US" w:eastAsia="zh-CN"/>
              </w:rPr>
            </w:pPr>
          </w:p>
        </w:tc>
        <w:tc>
          <w:tcPr>
            <w:tcW w:w="52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机房、站房、排放口视频监控设备的安装，需符合《四川省固定污染源视频监控建设技术要求（试行）》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66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企业管理费</w:t>
            </w:r>
          </w:p>
        </w:tc>
        <w:tc>
          <w:tcPr>
            <w:tcW w:w="13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ind w:firstLine="434" w:firstLineChars="0"/>
              <w:jc w:val="left"/>
              <w:rPr>
                <w:rFonts w:hint="default" w:ascii="宋体" w:hAnsi="宋体" w:eastAsia="宋体" w:cs="宋体"/>
                <w:i w:val="0"/>
                <w:iCs w:val="0"/>
                <w:color w:val="000000"/>
                <w:sz w:val="21"/>
                <w:szCs w:val="21"/>
                <w:u w:val="none"/>
              </w:rPr>
            </w:pPr>
          </w:p>
        </w:tc>
        <w:tc>
          <w:tcPr>
            <w:tcW w:w="52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66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税金</w:t>
            </w:r>
          </w:p>
        </w:tc>
        <w:tc>
          <w:tcPr>
            <w:tcW w:w="13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ind w:firstLine="422" w:firstLineChars="0"/>
              <w:jc w:val="left"/>
              <w:rPr>
                <w:rFonts w:hint="default" w:ascii="宋体" w:hAnsi="宋体" w:eastAsia="宋体" w:cs="宋体"/>
                <w:i w:val="0"/>
                <w:iCs w:val="0"/>
                <w:color w:val="000000"/>
                <w:sz w:val="21"/>
                <w:szCs w:val="21"/>
                <w:u w:val="none"/>
              </w:rPr>
            </w:pPr>
          </w:p>
        </w:tc>
        <w:tc>
          <w:tcPr>
            <w:tcW w:w="52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229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1-7项合计（元/年）</w:t>
            </w:r>
          </w:p>
        </w:tc>
        <w:tc>
          <w:tcPr>
            <w:tcW w:w="656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hint="eastAsia" w:ascii="宋体" w:hAnsi="宋体" w:eastAsia="宋体" w:cs="宋体"/>
                <w:i w:val="0"/>
                <w:iCs w:val="0"/>
                <w:color w:val="000000"/>
                <w:sz w:val="22"/>
                <w:szCs w:val="22"/>
                <w:u w:val="none"/>
              </w:rPr>
            </w:pPr>
          </w:p>
        </w:tc>
      </w:tr>
    </w:tbl>
    <w:p>
      <w:pPr>
        <w:jc w:val="left"/>
        <w:rPr>
          <w:rFonts w:hint="eastAsia"/>
          <w:sz w:val="36"/>
          <w:szCs w:val="36"/>
          <w:lang w:eastAsia="zh-CN"/>
        </w:rPr>
      </w:pPr>
    </w:p>
    <w:p>
      <w:pPr>
        <w:jc w:val="left"/>
        <w:rPr>
          <w:rFonts w:hint="eastAsia"/>
          <w:sz w:val="36"/>
          <w:szCs w:val="36"/>
          <w:lang w:eastAsia="zh-CN"/>
        </w:rPr>
      </w:pPr>
    </w:p>
    <w:p>
      <w:pPr>
        <w:jc w:val="left"/>
        <w:rPr>
          <w:rFonts w:hint="eastAsia"/>
          <w:sz w:val="36"/>
          <w:szCs w:val="36"/>
          <w:lang w:eastAsia="zh-CN"/>
        </w:rPr>
      </w:pPr>
    </w:p>
    <w:p>
      <w:pPr>
        <w:jc w:val="left"/>
        <w:rPr>
          <w:rFonts w:hint="eastAsia"/>
          <w:sz w:val="36"/>
          <w:szCs w:val="36"/>
          <w:lang w:eastAsia="zh-CN"/>
        </w:rPr>
      </w:pPr>
    </w:p>
    <w:p>
      <w:pPr>
        <w:numPr>
          <w:ilvl w:val="0"/>
          <w:numId w:val="0"/>
        </w:numPr>
        <w:tabs>
          <w:tab w:val="center" w:pos="4153"/>
        </w:tabs>
        <w:spacing w:line="360" w:lineRule="auto"/>
        <w:ind w:firstLine="560" w:firstLineChars="200"/>
        <w:jc w:val="both"/>
        <w:rPr>
          <w:rFonts w:hint="default" w:ascii="Times New Roman" w:hAnsi="Times New Roman" w:eastAsia="宋体" w:cs="Times New Roman"/>
          <w:b w:val="0"/>
          <w:bCs w:val="0"/>
          <w:color w:val="000000"/>
          <w:sz w:val="28"/>
          <w:szCs w:val="28"/>
          <w:lang w:val="en-US" w:eastAsia="zh-CN"/>
        </w:rPr>
      </w:pPr>
    </w:p>
    <w:p>
      <w:pPr>
        <w:numPr>
          <w:ilvl w:val="0"/>
          <w:numId w:val="0"/>
        </w:numPr>
        <w:spacing w:line="579" w:lineRule="exact"/>
        <w:rPr>
          <w:rFonts w:hint="default" w:ascii="仿宋" w:hAnsi="仿宋" w:eastAsia="仿宋" w:cs="仿宋"/>
          <w:sz w:val="32"/>
          <w:szCs w:val="32"/>
          <w:lang w:val="en-US" w:eastAsia="zh-CN"/>
        </w:rPr>
      </w:pPr>
    </w:p>
    <w:p>
      <w:pPr>
        <w:numPr>
          <w:ilvl w:val="0"/>
          <w:numId w:val="0"/>
        </w:numPr>
        <w:spacing w:line="579" w:lineRule="exact"/>
        <w:rPr>
          <w:rFonts w:hint="default" w:ascii="仿宋" w:hAnsi="仿宋" w:eastAsia="仿宋" w:cs="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multilevel"/>
    <w:tmpl w:val="00000007"/>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1F"/>
    <w:multiLevelType w:val="multilevel"/>
    <w:tmpl w:val="0000001F"/>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20"/>
    <w:multiLevelType w:val="multilevel"/>
    <w:tmpl w:val="00000020"/>
    <w:lvl w:ilvl="0" w:tentative="0">
      <w:start w:val="1"/>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992A497"/>
    <w:multiLevelType w:val="singleLevel"/>
    <w:tmpl w:val="3992A497"/>
    <w:lvl w:ilvl="0" w:tentative="0">
      <w:start w:val="3"/>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4Yjg2ODg2ZTAxNDZjMjFmYmIwM2ExZjc4ZjVhZjAifQ=="/>
    <w:docVar w:name="KSO_WPS_MARK_KEY" w:val="c1db248b-96a3-4f71-8c90-91b9d749b513"/>
  </w:docVars>
  <w:rsids>
    <w:rsidRoot w:val="002211C9"/>
    <w:rsid w:val="002211C9"/>
    <w:rsid w:val="002D7BC2"/>
    <w:rsid w:val="0047281C"/>
    <w:rsid w:val="00586FEC"/>
    <w:rsid w:val="00624B38"/>
    <w:rsid w:val="0074655D"/>
    <w:rsid w:val="007B3042"/>
    <w:rsid w:val="008F43B6"/>
    <w:rsid w:val="00B32BCE"/>
    <w:rsid w:val="00E43E05"/>
    <w:rsid w:val="00F03A1B"/>
    <w:rsid w:val="00F10076"/>
    <w:rsid w:val="02DA4630"/>
    <w:rsid w:val="032849BB"/>
    <w:rsid w:val="0342221D"/>
    <w:rsid w:val="05151AEC"/>
    <w:rsid w:val="05177E3D"/>
    <w:rsid w:val="05AC22B4"/>
    <w:rsid w:val="06EA3869"/>
    <w:rsid w:val="06EB0BBA"/>
    <w:rsid w:val="077E1A2E"/>
    <w:rsid w:val="079F70C5"/>
    <w:rsid w:val="091F0FEF"/>
    <w:rsid w:val="092A3CEF"/>
    <w:rsid w:val="0C042DB1"/>
    <w:rsid w:val="0C0B7609"/>
    <w:rsid w:val="0E2502EE"/>
    <w:rsid w:val="0EA75442"/>
    <w:rsid w:val="0ED4462A"/>
    <w:rsid w:val="13E26EA1"/>
    <w:rsid w:val="1525798D"/>
    <w:rsid w:val="154806B5"/>
    <w:rsid w:val="15DE18EA"/>
    <w:rsid w:val="16F26910"/>
    <w:rsid w:val="180240FD"/>
    <w:rsid w:val="199724DC"/>
    <w:rsid w:val="1A4728DD"/>
    <w:rsid w:val="1BF754B3"/>
    <w:rsid w:val="1ECB3353"/>
    <w:rsid w:val="20AA343C"/>
    <w:rsid w:val="213D4142"/>
    <w:rsid w:val="21533480"/>
    <w:rsid w:val="22160D89"/>
    <w:rsid w:val="22573150"/>
    <w:rsid w:val="238D507B"/>
    <w:rsid w:val="24575689"/>
    <w:rsid w:val="27EB78A0"/>
    <w:rsid w:val="27FA6A57"/>
    <w:rsid w:val="28C06434"/>
    <w:rsid w:val="2A7E151D"/>
    <w:rsid w:val="2AA643B3"/>
    <w:rsid w:val="2BE315B0"/>
    <w:rsid w:val="2D6F134E"/>
    <w:rsid w:val="2DBE77F4"/>
    <w:rsid w:val="2E8F01DD"/>
    <w:rsid w:val="2F0D407F"/>
    <w:rsid w:val="30C145B6"/>
    <w:rsid w:val="31F42769"/>
    <w:rsid w:val="32A108E2"/>
    <w:rsid w:val="34692DE9"/>
    <w:rsid w:val="394A2C6F"/>
    <w:rsid w:val="397A17A6"/>
    <w:rsid w:val="39D54C2E"/>
    <w:rsid w:val="3ACF2D0A"/>
    <w:rsid w:val="410D73A4"/>
    <w:rsid w:val="41A63B7C"/>
    <w:rsid w:val="41BC480C"/>
    <w:rsid w:val="4269685C"/>
    <w:rsid w:val="433A3422"/>
    <w:rsid w:val="4383394D"/>
    <w:rsid w:val="45FD79E7"/>
    <w:rsid w:val="468639A5"/>
    <w:rsid w:val="48C742DC"/>
    <w:rsid w:val="4A4D53B0"/>
    <w:rsid w:val="4BB02E05"/>
    <w:rsid w:val="4C9F5BEA"/>
    <w:rsid w:val="4D902EEE"/>
    <w:rsid w:val="4FF36048"/>
    <w:rsid w:val="54F11C1C"/>
    <w:rsid w:val="55821CB6"/>
    <w:rsid w:val="5764689A"/>
    <w:rsid w:val="59352EAA"/>
    <w:rsid w:val="5AF96577"/>
    <w:rsid w:val="5B664EE6"/>
    <w:rsid w:val="5C7D4904"/>
    <w:rsid w:val="5D9C5F8A"/>
    <w:rsid w:val="5EC559DD"/>
    <w:rsid w:val="5F231AB1"/>
    <w:rsid w:val="5F593E75"/>
    <w:rsid w:val="5FC829BC"/>
    <w:rsid w:val="603D5158"/>
    <w:rsid w:val="605F4B3D"/>
    <w:rsid w:val="607C7302"/>
    <w:rsid w:val="6283706E"/>
    <w:rsid w:val="62C70D09"/>
    <w:rsid w:val="64682077"/>
    <w:rsid w:val="65031DA0"/>
    <w:rsid w:val="660910E4"/>
    <w:rsid w:val="69992CD3"/>
    <w:rsid w:val="6A461CC4"/>
    <w:rsid w:val="6C042FCD"/>
    <w:rsid w:val="6CB73F5F"/>
    <w:rsid w:val="6CD15E7F"/>
    <w:rsid w:val="6DB12964"/>
    <w:rsid w:val="6DBD47B3"/>
    <w:rsid w:val="6DDF5744"/>
    <w:rsid w:val="71F62172"/>
    <w:rsid w:val="72800ED4"/>
    <w:rsid w:val="742A5DEF"/>
    <w:rsid w:val="74495C2B"/>
    <w:rsid w:val="77845A5B"/>
    <w:rsid w:val="79904BD5"/>
    <w:rsid w:val="7B9B0000"/>
    <w:rsid w:val="7BE849F9"/>
    <w:rsid w:val="7CDB7433"/>
    <w:rsid w:val="7DE6133B"/>
    <w:rsid w:val="7F3E1EFB"/>
    <w:rsid w:val="7FE74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99" w:semiHidden="0" w:name="Strong"/>
    <w:lsdException w:unhideWhenUsed="0" w:uiPriority="99"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table" w:styleId="5">
    <w:name w:val="Table Grid"/>
    <w:basedOn w:val="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page number"/>
    <w:basedOn w:val="6"/>
    <w:qFormat/>
    <w:uiPriority w:val="0"/>
  </w:style>
  <w:style w:type="paragraph" w:customStyle="1" w:styleId="8">
    <w:name w:val="正文2"/>
    <w:basedOn w:val="1"/>
    <w:qFormat/>
    <w:uiPriority w:val="99"/>
    <w:rPr>
      <w:rFonts w:ascii="仿宋_GB2312" w:eastAsia="仿宋_GB2312"/>
      <w:sz w:val="32"/>
      <w:szCs w:val="20"/>
    </w:rPr>
  </w:style>
  <w:style w:type="paragraph" w:customStyle="1" w:styleId="9">
    <w:name w:val="列出段落2"/>
    <w:basedOn w:val="1"/>
    <w:qFormat/>
    <w:uiPriority w:val="99"/>
    <w:pPr>
      <w:ind w:firstLine="420" w:firstLineChars="200"/>
    </w:pPr>
  </w:style>
  <w:style w:type="paragraph" w:customStyle="1" w:styleId="10">
    <w:name w:val="列出段落3"/>
    <w:basedOn w:val="1"/>
    <w:qFormat/>
    <w:uiPriority w:val="99"/>
    <w:pPr>
      <w:ind w:firstLine="420" w:firstLineChars="200"/>
    </w:pPr>
  </w:style>
  <w:style w:type="paragraph" w:styleId="11">
    <w:name w:val="List Paragraph"/>
    <w:basedOn w:val="1"/>
    <w:unhideWhenUsed/>
    <w:qFormat/>
    <w:uiPriority w:val="99"/>
    <w:pPr>
      <w:ind w:firstLine="420" w:firstLineChars="200"/>
    </w:pPr>
  </w:style>
  <w:style w:type="paragraph" w:customStyle="1" w:styleId="12">
    <w:name w:val="_Style 4"/>
    <w:basedOn w:val="1"/>
    <w:qFormat/>
    <w:uiPriority w:val="0"/>
    <w:pPr>
      <w:ind w:firstLine="420" w:firstLineChars="200"/>
    </w:pPr>
    <w:rPr>
      <w:rFonts w:ascii="Times New Roman" w:hAnsi="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4536</Words>
  <Characters>4940</Characters>
  <Lines>3</Lines>
  <Paragraphs>1</Paragraphs>
  <TotalTime>2</TotalTime>
  <ScaleCrop>false</ScaleCrop>
  <LinksUpToDate>false</LinksUpToDate>
  <CharactersWithSpaces>4981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2021-09-29T00:48:00Z</dcterms:created>
  <dc:creator>an</dc:creator>
  <cp:lastModifiedBy>RUIFOX</cp:lastModifiedBy>
  <dcterms:modified xsi:type="dcterms:W3CDTF">2024-08-07T02:33:01Z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71C4BA0FA2F64BFB9E6B80EB927B5E5E_13</vt:lpwstr>
  </property>
</Properties>
</file>