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4999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0"/>
        <w:gridCol w:w="890"/>
        <w:gridCol w:w="6740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包件号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序号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产品名称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抗甲状腺过氧化物酶抗体测定试剂盒（直接化学发光法）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抗甲状腺球蛋白抗体测定试剂盒（直接化学发光法）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清洗缓冲液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化学发光免疫复合质控品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5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化学发光免疫复合质控品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6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甲状腺自身抗体复合质控品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7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甲状腺自身抗体复合质控品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8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游离甲状腺素测定试剂盒（直接化学发光法）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9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总甲状腺素测定试剂盒（直接化学发光法）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10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促甲状腺激素测定试剂盒（直接化学发光法）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11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总三碘甲状腺原氨酸测定试剂盒（直接化学发光法）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12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游离三碘甲状腺原氨酸测定试剂盒（直接化学发光法）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13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甲状腺球蛋白测定试剂盒（直接化学发光法）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14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降钙素测定试剂盒（直接化学发光法）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15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胰岛素测定试剂盒（直接化学发光法）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16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C肽测定试剂盒（直接化学发光法）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17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甲状旁腺素测定试剂盒（直接化学发光法）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18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反应杯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胰岛素样生长因子-1检测试剂盒(磁微粒化学发光法）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胃蛋白酶原II检测试剂盒（磁微粒化学发光法）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胃蛋白酶原I检测试剂盒（磁微粒化学发光法）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新型冠状病毒核糖核酸非定值质控品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核酸提取或纯化试剂盒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样本释放剂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4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甲型/乙型流感病毒抗原检测试剂盒（胶体金法）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4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诺如病毒抗原检测试剂盒（胶体金法）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5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阿尔茨海默相关神经丝蛋白（AD7C-NTP)检测试剂盒（酶联免疫法）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5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细菌药敏试条（E试验法）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6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组织固定液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6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组织固定液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6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PDGFRα18基因突变检测试剂盒（荧光PCR-毛细管电泳测序法）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6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Sasol病理级石蜡（57-60℃）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EGFR基因突变检测试剂盒（荧光PCR-毛细管电泳法）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B-raf基因突变检测试剂盒（荧光PCR-毛细管电泳法）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K-ras基因突变检测试剂盒（荧光PCR-毛细管电泳法）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肺炎支原体及肺炎衣原体核酸联合检测试剂盒（荧光PCR法）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5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甲酰胺进样溶剂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6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阳极缓冲液槽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7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缓冲液槽（阴极缓冲液槽）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8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高分子分离胶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9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荧光内标染料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10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测序反应通用试剂盒（测序法）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11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荧光内标染料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12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毛细管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13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吸头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5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14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EGFR/ALK/ROS1/BRAF/KRAS/HER2基因突变检测试剂盒（可逆末端终止测序法）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15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胃肠间质瘤39基因检测试剂盒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8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ALDH2基因检测试剂盒（PCR毛细电泳片段分析法）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8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CYP2C19基因检测试剂盒（PCR毛细电泳片段分析法）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8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ALDH2基因突变检测试剂盒（PCR-荧光探针法）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8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CYP2C19基因多态性检测试剂盒（荧光PCR法）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8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5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CYP2C9和VKORC1基因多态性检测试剂盒（荧光PCR法）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8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6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乙型肝炎病毒前C区1896位点基因突变检测试剂盒（荧光PCR法）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8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7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乙型肝炎病毒BCP区1762/1764位点基因突变检测试剂盒（荧光PCR法）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8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8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CYP2D6*10、CYP2C9*3、ADRB1(1165G&gt;C)、AGTR1(1166A&gt;C)、ACE(I/D)检测试剂盒（PCR-熔解曲线法）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96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9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人类KRAS/NRAS/PIK3CA/BRAF基因突变联合检测试剂盒（荧光PCR法）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9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5种突变基因检测试剂盒（荧光PCR法）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3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0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人Y染色体AZF区微缺失核酸检测试剂盒(PCR-荧光探针法)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0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缺失型α-地中海贫血基因突变检测试剂盒（Gap-PCR法）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1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0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非缺失型α-地中海贫血基因突变检测试剂盒（PCR-反向点杂交法）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88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0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β-地中海贫血基因突变检测试剂盒（PCR-反向点杂交法）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1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0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5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MTHFR基因检测试剂盒（PCR-荧光探针法）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脱蜡液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免疫组化抗原修复缓冲液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免疫组化抗原修复缓冲液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清洗液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5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免疫显色试剂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1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6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免疫显色试剂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7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打印标签纸和色带Bond Printer Ribbon and Labels（S21.4604.C)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1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8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Bond试剂针清洁盒(cs9100)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人乳头瘤病毒（HPV）核酸检测及基因分型试剂盒（PCR毛细电泳片段分析法）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13种呼吸道病原体多重检测试剂盒（PCR毛细电泳片段分析法）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2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人微卫星不稳定性(MSI)基因检测试剂盒(荧光PCR-毛细管电泳法)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盖玻片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2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一次性刀片（冰冻切片机）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3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电化片粘附片（激光型）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4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免疫显色试剂（快速冰冻法，鼠源）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5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弹性纤维染色液（维多利亚蓝法）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6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肥大细胞染色液（甲苯胺蓝法）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1</w:t>
            </w: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3</w:t>
            </w:r>
          </w:p>
        </w:tc>
        <w:tc>
          <w:tcPr>
            <w:tcW w:w="52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>
            <w:pPr>
              <w:widowControl/>
              <w:jc w:val="right"/>
              <w:textAlignment w:val="center"/>
              <w:rPr>
                <w:rFonts w:hint="eastAsia" w:hAnsi="宋体" w:eastAsia="宋体" w:cs="宋体"/>
                <w:color w:val="000000"/>
                <w:sz w:val="22"/>
                <w:highlight w:val="none"/>
                <w:lang w:eastAsia="zh-CN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val="en-US" w:eastAsia="zh-CN" w:bidi="ar"/>
              </w:rPr>
              <w:t>7</w:t>
            </w:r>
          </w:p>
        </w:tc>
        <w:tc>
          <w:tcPr>
            <w:tcW w:w="39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widowControl/>
              <w:jc w:val="left"/>
              <w:textAlignment w:val="center"/>
              <w:rPr>
                <w:rFonts w:hAnsi="宋体" w:cs="宋体"/>
                <w:color w:val="000000"/>
                <w:sz w:val="22"/>
                <w:highlight w:val="none"/>
              </w:rPr>
            </w:pPr>
            <w:r>
              <w:rPr>
                <w:rFonts w:hint="eastAsia" w:hAnsi="宋体" w:cs="宋体"/>
                <w:color w:val="000000"/>
                <w:sz w:val="22"/>
                <w:highlight w:val="none"/>
                <w:lang w:bidi="ar"/>
              </w:rPr>
              <w:t>苏丹黑染色液</w:t>
            </w: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3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IwYWU3OTViNzFjMDY0MTUzYzdiZmE1MzU3YWM2NTcifQ=="/>
  </w:docVars>
  <w:rsids>
    <w:rsidRoot w:val="00000000"/>
    <w:rsid w:val="47112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宋体" w:hAnsi="Calibri" w:eastAsia="宋体" w:cs="Times New Roman"/>
      <w:sz w:val="34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able of figures"/>
    <w:basedOn w:val="1"/>
    <w:next w:val="1"/>
    <w:qFormat/>
    <w:uiPriority w:val="0"/>
    <w:pPr>
      <w:spacing w:before="100" w:beforeAutospacing="1" w:after="100" w:afterAutospacing="1"/>
      <w:ind w:left="400" w:leftChars="200" w:hanging="200" w:hangingChars="200"/>
    </w:pPr>
    <w:rPr>
      <w:kern w:val="0"/>
      <w:sz w:val="20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2024-08-08T09:29:52Z</dcterms:created>
  <dc:creator>Administrator</dc:creator>
  <cp:lastModifiedBy>helen li</cp:lastModifiedBy>
  <dcterms:modified xsi:type="dcterms:W3CDTF">2024-08-08T09:30:31Z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64E2773787134325B1938A6821F9074A_12</vt:lpwstr>
  </property>
</Properties>
</file>