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numPr>
          <w:ilvl w:val="0"/>
          <w:numId w:val="0"/>
        </w:numPr>
        <w:rPr>
          <w:rFonts w:hint="eastAsia"/>
          <w:sz w:val="32"/>
          <w:szCs w:val="32"/>
          <w:lang w:eastAsia="zh-CN"/>
        </w:rPr>
      </w:pPr>
      <w:bookmarkStart w:id="0" w:name="_Toc53143263"/>
      <w:bookmarkStart w:id="1" w:name="_Toc366424150"/>
      <w:bookmarkStart w:id="2" w:name="_Toc332971261"/>
      <w:bookmarkStart w:id="3" w:name="_Toc366423096"/>
      <w:bookmarkStart w:id="4" w:name="_Toc366423484"/>
      <w:bookmarkStart w:id="5" w:name="_Toc66127872"/>
      <w:r>
        <w:rPr>
          <w:rFonts w:hint="eastAsia"/>
          <w:sz w:val="32"/>
          <w:szCs w:val="32"/>
        </w:rPr>
        <w:t>成都市第五人民医院急诊及专病中心（胸痛、卒中、创伤）管理平台信息化建设项目</w:t>
      </w:r>
      <w:r>
        <w:rPr>
          <w:rFonts w:hint="eastAsia"/>
          <w:sz w:val="32"/>
          <w:szCs w:val="32"/>
          <w:lang w:eastAsia="zh-CN"/>
        </w:rPr>
        <w:t>需求</w:t>
      </w:r>
    </w:p>
    <w:p>
      <w:pPr>
        <w:pStyle w:val="2"/>
        <w:numPr>
          <w:ilvl w:val="0"/>
          <w:numId w:val="0"/>
        </w:numPr>
      </w:pPr>
      <w:r>
        <w:rPr>
          <w:rFonts w:hint="eastAsia"/>
        </w:rPr>
        <w:t>1.项目概述</w:t>
      </w:r>
      <w:bookmarkEnd w:id="0"/>
      <w:bookmarkEnd w:id="1"/>
      <w:bookmarkEnd w:id="2"/>
      <w:bookmarkEnd w:id="3"/>
      <w:bookmarkEnd w:id="4"/>
      <w:bookmarkEnd w:id="5"/>
    </w:p>
    <w:p>
      <w:pPr>
        <w:pStyle w:val="3"/>
        <w:numPr>
          <w:ilvl w:val="0"/>
          <w:numId w:val="0"/>
        </w:numPr>
        <w:rPr>
          <w:rFonts w:ascii="宋体" w:hAnsi="宋体"/>
          <w:sz w:val="30"/>
          <w:szCs w:val="30"/>
        </w:rPr>
      </w:pPr>
      <w:bookmarkStart w:id="6" w:name="_Toc53143264"/>
      <w:bookmarkStart w:id="7" w:name="_Toc366424151"/>
      <w:bookmarkStart w:id="8" w:name="_Toc66127873"/>
      <w:bookmarkStart w:id="9" w:name="_Toc332971262"/>
      <w:bookmarkStart w:id="10" w:name="_Toc366423097"/>
      <w:bookmarkStart w:id="11" w:name="_Toc366423485"/>
      <w:r>
        <w:rPr>
          <w:rFonts w:hint="eastAsia" w:ascii="宋体" w:hAnsi="宋体"/>
          <w:sz w:val="30"/>
          <w:szCs w:val="30"/>
        </w:rPr>
        <w:t>1.1项目名称</w:t>
      </w:r>
      <w:bookmarkEnd w:id="6"/>
      <w:bookmarkEnd w:id="7"/>
      <w:bookmarkEnd w:id="8"/>
      <w:bookmarkEnd w:id="9"/>
      <w:bookmarkEnd w:id="10"/>
      <w:bookmarkEnd w:id="11"/>
    </w:p>
    <w:p>
      <w:pPr>
        <w:pStyle w:val="22"/>
        <w:ind w:firstLine="600"/>
        <w:rPr>
          <w:rFonts w:ascii="宋体" w:hAnsi="宋体" w:eastAsia="宋体"/>
          <w:sz w:val="30"/>
          <w:szCs w:val="30"/>
        </w:rPr>
      </w:pPr>
      <w:r>
        <w:rPr>
          <w:rFonts w:hint="eastAsia" w:ascii="宋体" w:hAnsi="宋体" w:eastAsia="宋体"/>
          <w:sz w:val="30"/>
          <w:szCs w:val="30"/>
        </w:rPr>
        <w:t>成都市第五人民医院急诊及专病中心（胸痛、卒中、创伤）管理平台信息化建设项目</w:t>
      </w:r>
    </w:p>
    <w:p>
      <w:pPr>
        <w:pStyle w:val="3"/>
        <w:numPr>
          <w:ilvl w:val="0"/>
          <w:numId w:val="0"/>
        </w:numPr>
        <w:rPr>
          <w:rFonts w:ascii="宋体" w:hAnsi="宋体"/>
          <w:sz w:val="30"/>
          <w:szCs w:val="30"/>
        </w:rPr>
      </w:pPr>
      <w:bookmarkStart w:id="12" w:name="_Toc53143266"/>
      <w:bookmarkStart w:id="13" w:name="_Toc66127875"/>
      <w:r>
        <w:rPr>
          <w:rFonts w:hint="eastAsia" w:ascii="宋体" w:hAnsi="宋体"/>
          <w:sz w:val="30"/>
          <w:szCs w:val="30"/>
        </w:rPr>
        <w:t>1.2建设任务</w:t>
      </w:r>
      <w:bookmarkEnd w:id="12"/>
      <w:r>
        <w:rPr>
          <w:rFonts w:hint="eastAsia" w:ascii="宋体" w:hAnsi="宋体"/>
          <w:sz w:val="30"/>
          <w:szCs w:val="30"/>
        </w:rPr>
        <w:t>/目标</w:t>
      </w:r>
      <w:bookmarkEnd w:id="13"/>
    </w:p>
    <w:p>
      <w:pPr>
        <w:pStyle w:val="22"/>
        <w:ind w:firstLine="600"/>
        <w:rPr>
          <w:rFonts w:ascii="宋体" w:hAnsi="宋体" w:eastAsia="宋体"/>
          <w:sz w:val="30"/>
          <w:szCs w:val="30"/>
        </w:rPr>
      </w:pPr>
      <w:r>
        <w:rPr>
          <w:rFonts w:hint="eastAsia" w:ascii="宋体" w:hAnsi="宋体" w:eastAsia="宋体"/>
          <w:sz w:val="30"/>
          <w:szCs w:val="30"/>
        </w:rPr>
        <w:t>通过急诊医学临床信息系统的建设，进一步规范和优化急诊临床工作流程，体现急诊质控要求，实现院内预检分诊、接诊、抢救、留观等工作流程，达到医护一体化、信息化、数字化和移动化，提高整体急诊科的工作效率和管理水平，提升急诊急救区域协同能力，扩大区域影响力。具体表现如下几点：</w:t>
      </w:r>
    </w:p>
    <w:p>
      <w:pPr>
        <w:pStyle w:val="22"/>
        <w:ind w:firstLine="600"/>
        <w:rPr>
          <w:rFonts w:ascii="宋体" w:hAnsi="宋体" w:eastAsia="宋体"/>
          <w:sz w:val="30"/>
          <w:szCs w:val="30"/>
        </w:rPr>
      </w:pPr>
      <w:r>
        <w:rPr>
          <w:rFonts w:hint="eastAsia" w:ascii="宋体" w:hAnsi="宋体" w:eastAsia="宋体"/>
          <w:sz w:val="30"/>
          <w:szCs w:val="30"/>
        </w:rPr>
        <w:t>1</w:t>
      </w:r>
      <w:r>
        <w:rPr>
          <w:rFonts w:ascii="宋体" w:hAnsi="宋体" w:eastAsia="宋体"/>
          <w:sz w:val="30"/>
          <w:szCs w:val="30"/>
        </w:rPr>
        <w:t>.</w:t>
      </w:r>
      <w:r>
        <w:rPr>
          <w:rFonts w:hint="eastAsia" w:ascii="宋体" w:hAnsi="宋体" w:eastAsia="宋体"/>
          <w:sz w:val="30"/>
          <w:szCs w:val="30"/>
        </w:rPr>
        <w:t>提升临床工作效率</w:t>
      </w:r>
    </w:p>
    <w:p>
      <w:pPr>
        <w:pStyle w:val="22"/>
        <w:ind w:firstLine="600"/>
        <w:rPr>
          <w:rFonts w:ascii="宋体" w:hAnsi="宋体" w:eastAsia="宋体"/>
          <w:sz w:val="30"/>
          <w:szCs w:val="30"/>
        </w:rPr>
      </w:pPr>
      <w:r>
        <w:rPr>
          <w:rFonts w:hint="eastAsia" w:ascii="宋体" w:hAnsi="宋体" w:eastAsia="宋体"/>
          <w:sz w:val="30"/>
          <w:szCs w:val="30"/>
        </w:rPr>
        <w:t>根据急诊科的专科特点，将急诊日常诊疗工作标准化、流程化和自动化，充分利用床边设备数据采集、全院临床信息集成、以及基于移动设备的临床数据可视化技术，最大程度提升临床工作效率。同时，通过专门针对急诊设计的人机界面和模板工具，节省医护人员书写标准化的临床文书的时间，把医护人员的时间还给病人。通过分诊的信息化，优化急诊医疗资源配置，也使病人在合适的时间去合适的区域获得及时的诊疗。</w:t>
      </w:r>
    </w:p>
    <w:p>
      <w:pPr>
        <w:pStyle w:val="22"/>
        <w:ind w:firstLine="600"/>
        <w:rPr>
          <w:rFonts w:ascii="宋体" w:hAnsi="宋体" w:eastAsia="宋体"/>
          <w:sz w:val="30"/>
          <w:szCs w:val="30"/>
        </w:rPr>
      </w:pPr>
      <w:r>
        <w:rPr>
          <w:rFonts w:hint="eastAsia" w:ascii="宋体" w:hAnsi="宋体" w:eastAsia="宋体"/>
          <w:sz w:val="30"/>
          <w:szCs w:val="30"/>
        </w:rPr>
        <w:t>2</w:t>
      </w:r>
      <w:r>
        <w:rPr>
          <w:rFonts w:ascii="宋体" w:hAnsi="宋体" w:eastAsia="宋体"/>
          <w:sz w:val="30"/>
          <w:szCs w:val="30"/>
        </w:rPr>
        <w:t>.</w:t>
      </w:r>
      <w:r>
        <w:rPr>
          <w:rFonts w:hint="eastAsia" w:ascii="宋体" w:hAnsi="宋体" w:eastAsia="宋体"/>
          <w:sz w:val="30"/>
          <w:szCs w:val="30"/>
        </w:rPr>
        <w:t>提升医疗服务质量，完善质控统计</w:t>
      </w:r>
    </w:p>
    <w:p>
      <w:pPr>
        <w:pStyle w:val="22"/>
        <w:ind w:firstLine="600"/>
        <w:rPr>
          <w:rFonts w:ascii="宋体" w:hAnsi="宋体" w:eastAsia="宋体"/>
          <w:sz w:val="30"/>
          <w:szCs w:val="30"/>
        </w:rPr>
      </w:pPr>
      <w:r>
        <w:rPr>
          <w:rFonts w:hint="eastAsia" w:ascii="宋体" w:hAnsi="宋体" w:eastAsia="宋体"/>
          <w:sz w:val="30"/>
          <w:szCs w:val="30"/>
        </w:rPr>
        <w:t>覆盖急诊相关的各个临床工作环节，它以急诊病人的完整救治过程为主线，建立急诊临床信息数据库，全流程、全方位地追踪和监控医疗诊疗过程，特别是通过对救治过程中各个环节所经历时间的记录，以及对急诊医嘱处理全过程的跟踪，满足急诊质控的要求。</w:t>
      </w:r>
    </w:p>
    <w:p>
      <w:pPr>
        <w:pStyle w:val="22"/>
        <w:ind w:firstLine="600"/>
        <w:rPr>
          <w:rFonts w:ascii="宋体" w:hAnsi="宋体" w:eastAsia="宋体"/>
          <w:sz w:val="30"/>
          <w:szCs w:val="30"/>
        </w:rPr>
      </w:pPr>
      <w:r>
        <w:rPr>
          <w:rFonts w:hint="eastAsia" w:ascii="宋体" w:hAnsi="宋体" w:eastAsia="宋体"/>
          <w:sz w:val="30"/>
          <w:szCs w:val="30"/>
        </w:rPr>
        <w:t>3</w:t>
      </w:r>
      <w:r>
        <w:rPr>
          <w:rFonts w:ascii="宋体" w:hAnsi="宋体" w:eastAsia="宋体"/>
          <w:sz w:val="30"/>
          <w:szCs w:val="30"/>
        </w:rPr>
        <w:t>.</w:t>
      </w:r>
      <w:r>
        <w:rPr>
          <w:rFonts w:hint="eastAsia" w:ascii="宋体" w:hAnsi="宋体" w:eastAsia="宋体"/>
          <w:sz w:val="30"/>
          <w:szCs w:val="30"/>
        </w:rPr>
        <w:t>提升临床科研水平</w:t>
      </w:r>
    </w:p>
    <w:p>
      <w:pPr>
        <w:pStyle w:val="22"/>
        <w:ind w:firstLine="600"/>
        <w:rPr>
          <w:rFonts w:ascii="宋体" w:hAnsi="宋体" w:eastAsia="宋体"/>
          <w:sz w:val="30"/>
          <w:szCs w:val="30"/>
        </w:rPr>
      </w:pPr>
      <w:r>
        <w:rPr>
          <w:rFonts w:hint="eastAsia" w:ascii="宋体" w:hAnsi="宋体" w:eastAsia="宋体"/>
          <w:sz w:val="30"/>
          <w:szCs w:val="30"/>
        </w:rPr>
        <w:t>以患者为中心，汇总来自各种床边设备，以及 HIS、LIS、RIS、PACS、EMR、手术麻醉等系统的临床信息，形成集成化、专业化的急诊电子病历，帮助医生对患者的病情进行详细的跟踪，以及量化的综合分析。能够对海量的临床数据进行长期保存，支持多种方式、多种视角的查询检索，以及多种格式导入导出，为临床科研的积累完整的、宝贵的第一手数据。</w:t>
      </w:r>
    </w:p>
    <w:p>
      <w:pPr>
        <w:pStyle w:val="22"/>
        <w:ind w:firstLine="600"/>
        <w:rPr>
          <w:rFonts w:ascii="宋体" w:hAnsi="宋体" w:eastAsia="宋体"/>
          <w:sz w:val="30"/>
          <w:szCs w:val="30"/>
        </w:rPr>
      </w:pPr>
      <w:r>
        <w:rPr>
          <w:rFonts w:hint="eastAsia" w:ascii="宋体" w:hAnsi="宋体" w:eastAsia="宋体"/>
          <w:sz w:val="30"/>
          <w:szCs w:val="30"/>
        </w:rPr>
        <w:t>4</w:t>
      </w:r>
      <w:r>
        <w:rPr>
          <w:rFonts w:ascii="宋体" w:hAnsi="宋体" w:eastAsia="宋体"/>
          <w:sz w:val="30"/>
          <w:szCs w:val="30"/>
        </w:rPr>
        <w:t>.</w:t>
      </w:r>
      <w:r>
        <w:rPr>
          <w:rFonts w:hint="eastAsia" w:ascii="宋体" w:hAnsi="宋体" w:eastAsia="宋体"/>
          <w:sz w:val="30"/>
          <w:szCs w:val="30"/>
        </w:rPr>
        <w:t>提升科室管理水平</w:t>
      </w:r>
    </w:p>
    <w:p>
      <w:pPr>
        <w:pStyle w:val="22"/>
        <w:ind w:firstLine="600"/>
        <w:rPr>
          <w:rFonts w:ascii="宋体" w:hAnsi="宋体" w:eastAsia="宋体"/>
          <w:sz w:val="30"/>
          <w:szCs w:val="30"/>
        </w:rPr>
      </w:pPr>
      <w:r>
        <w:rPr>
          <w:rFonts w:hint="eastAsia" w:ascii="宋体" w:hAnsi="宋体" w:eastAsia="宋体"/>
          <w:sz w:val="30"/>
          <w:szCs w:val="30"/>
        </w:rPr>
        <w:t>自动采集和汇总急诊科各个临床工作环节的数据，从多种视角进行统计和分析，特别是支持三甲评审指标的实时统计，以多种图表呈现分析结果，支持移动应用推送等多种方式推送分析报告，帮助管理层全面了解运营情况（包括医护质量、人员绩效、成本收支等），及时做出科学决策。</w:t>
      </w:r>
    </w:p>
    <w:p>
      <w:pPr>
        <w:pStyle w:val="22"/>
        <w:ind w:firstLine="600"/>
        <w:rPr>
          <w:rFonts w:ascii="宋体" w:hAnsi="宋体" w:eastAsia="宋体"/>
          <w:sz w:val="30"/>
          <w:szCs w:val="30"/>
        </w:rPr>
      </w:pPr>
      <w:r>
        <w:rPr>
          <w:rFonts w:hint="eastAsia" w:ascii="宋体" w:hAnsi="宋体" w:eastAsia="宋体"/>
          <w:sz w:val="30"/>
          <w:szCs w:val="30"/>
        </w:rPr>
        <w:t>5</w:t>
      </w:r>
      <w:r>
        <w:rPr>
          <w:rFonts w:ascii="宋体" w:hAnsi="宋体" w:eastAsia="宋体"/>
          <w:sz w:val="30"/>
          <w:szCs w:val="30"/>
        </w:rPr>
        <w:t>.</w:t>
      </w:r>
      <w:r>
        <w:rPr>
          <w:rFonts w:hint="eastAsia" w:ascii="宋体" w:hAnsi="宋体" w:eastAsia="宋体"/>
          <w:sz w:val="30"/>
          <w:szCs w:val="30"/>
        </w:rPr>
        <w:t>急诊急救一体化流程改造和效率提升</w:t>
      </w:r>
    </w:p>
    <w:p>
      <w:pPr>
        <w:pStyle w:val="22"/>
        <w:ind w:firstLine="600"/>
        <w:rPr>
          <w:rFonts w:ascii="宋体" w:hAnsi="宋体" w:eastAsia="宋体"/>
          <w:sz w:val="30"/>
          <w:szCs w:val="30"/>
        </w:rPr>
      </w:pPr>
      <w:r>
        <w:rPr>
          <w:rFonts w:hint="eastAsia" w:ascii="宋体" w:hAnsi="宋体" w:eastAsia="宋体"/>
          <w:sz w:val="30"/>
          <w:szCs w:val="30"/>
        </w:rPr>
        <w:t>通过急诊临床信息系统的建设，实现医院急诊科，急诊急救流程进行重新梳理和流程再造。借助新型临床信息技术，如语音识别、医学自然语言处理、临床决策支持等，对医护人员的医疗行为进行实时监测和持续改进，打通院前急救、院内急诊和重症监护的信息流，提高绿色通道运行效率，为患者救治争取更多的时间。</w:t>
      </w:r>
    </w:p>
    <w:p>
      <w:pPr>
        <w:pStyle w:val="22"/>
        <w:ind w:firstLine="600"/>
        <w:rPr>
          <w:rFonts w:ascii="宋体" w:hAnsi="宋体" w:eastAsia="宋体"/>
          <w:sz w:val="30"/>
          <w:szCs w:val="30"/>
        </w:rPr>
      </w:pPr>
      <w:r>
        <w:rPr>
          <w:rFonts w:hint="eastAsia" w:ascii="宋体" w:hAnsi="宋体" w:eastAsia="宋体"/>
          <w:sz w:val="30"/>
          <w:szCs w:val="30"/>
        </w:rPr>
        <w:t>根据国家“十四五”相关规划文件精神，结合本医院急救网络的特点、机遇和挑战，充分利用现有的互联网、物联网、云计算、大数据和人工智能等现代信息技术，建立急诊急救一体化的一站式服务平台，通过推广应用、优化组合、战线前移，促进早期诊断、正确分流、科学救治，为更广范围的人民群众提供优质医疗资源和服务。建立集远程指导、预检分诊、绿色通道、数据中心认证上报、时钟同步、质控为一体的专病急救管理平台。为医院全面打造以卒中、胸痛、创伤患者为核心的三大疾病防控和救治网络。实现院前、院中、院后患者全生命周期的数字化监控体系，全面提升医院的在急危重症方面的整体管理水平和救治服务能力。通过预检分诊、院前预报和急救指导三位一体的应急响应中心，实现院内急诊专病绿色通道的前移；充分利用物联网和移动医疗技术，实现专病绿色通道的全流程医疗行为监控、临床信息共享和多学科团队协作互动，自动采集过程质控指标和协作效率数据。通过可扩展的、全程覆盖完整危重救治链的质控平台，将专病的临床急救指南固化为标准的程序和规则，在对医护人员正常工作最小干预的前提下进行实时数据采集，将临床质量控制与临床决策支持高度融合，支撑流程的持续改进和急救医学服务的均质化。</w:t>
      </w:r>
    </w:p>
    <w:p>
      <w:pPr>
        <w:rPr>
          <w:rFonts w:ascii="宋体" w:hAnsi="宋体" w:eastAsia="宋体"/>
          <w:sz w:val="30"/>
          <w:szCs w:val="30"/>
        </w:rPr>
      </w:pPr>
      <w:r>
        <w:rPr>
          <w:rFonts w:hint="eastAsia" w:ascii="宋体" w:hAnsi="宋体" w:eastAsia="宋体"/>
          <w:sz w:val="30"/>
          <w:szCs w:val="30"/>
        </w:rPr>
        <w:t>2、项目</w:t>
      </w:r>
      <w:r>
        <w:rPr>
          <w:rFonts w:hint="eastAsia" w:ascii="宋体" w:hAnsi="宋体" w:eastAsia="宋体"/>
          <w:sz w:val="30"/>
          <w:szCs w:val="30"/>
          <w:lang w:eastAsia="zh-CN"/>
        </w:rPr>
        <w:t>需求</w:t>
      </w:r>
      <w:bookmarkStart w:id="14" w:name="_GoBack"/>
      <w:bookmarkEnd w:id="14"/>
      <w:r>
        <w:rPr>
          <w:rFonts w:hint="eastAsia" w:ascii="宋体" w:hAnsi="宋体" w:eastAsia="宋体"/>
          <w:sz w:val="30"/>
          <w:szCs w:val="30"/>
        </w:rPr>
        <w:t>：</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2193"/>
        <w:gridCol w:w="55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序号</w:t>
            </w:r>
          </w:p>
        </w:tc>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产品名称</w:t>
            </w:r>
          </w:p>
        </w:tc>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功能描述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0" w:type="auto"/>
            <w:gridSpan w:val="3"/>
            <w:shd w:val="clear" w:color="000000" w:fill="D9D9D9"/>
            <w:noWrap/>
            <w:vAlign w:val="center"/>
          </w:tcPr>
          <w:p>
            <w:pPr>
              <w:widowControl/>
              <w:jc w:val="left"/>
              <w:rPr>
                <w:rFonts w:ascii="仿宋" w:hAnsi="仿宋" w:eastAsia="仿宋" w:cs="宋体"/>
                <w:b/>
                <w:bCs/>
                <w:kern w:val="0"/>
                <w:sz w:val="28"/>
                <w:szCs w:val="28"/>
              </w:rPr>
            </w:pPr>
            <w:r>
              <w:rPr>
                <w:rFonts w:hint="eastAsia" w:ascii="仿宋" w:hAnsi="仿宋" w:eastAsia="仿宋" w:cs="宋体"/>
                <w:b/>
                <w:bCs/>
                <w:kern w:val="0"/>
                <w:sz w:val="28"/>
                <w:szCs w:val="28"/>
              </w:rPr>
              <w:t>一、急救公共模块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5</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急诊预检分诊系统</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遵循卫生部的《急诊患者病情分级试点指导原则（2011 征求意见稿）》 ，规范急诊预检分诊流程，在实现分诊智能化、均质化的基础上，整合急诊重点病种绿色通道信息化平台。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6</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患者时间采集管理</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基于RFID的患者时间采集系统，相比其他物联网技术，具有精确度高、稳定性强等特点。通过可重复使用的有源RFID标签腕带和感应距离可调的传感器，自动记录绿色通道中关键环节的执行情况。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7</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多学科急救协作系统（MDT）</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MDT跨学科联合会诊平台，服务涵盖会诊建立、会诊过程记录和会诊结束。以患者为中心，多学科医生信息共享，共同完成病历资料的采集和诊疗执行的跟踪，以达到高效协作的目的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8</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区域急救协作系统</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围绕“以病人为中心的理念”，提供全流程转诊信息服务，配合智能节点提醒与反馈机制，使医联体内转诊流程更智能、更简洁，实现医联体内转诊状态、诊疗状态、诊疗结果等信息跨机构实时共享功能。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9</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专病中心电子看板</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可视化、数据化的展示医联体内专病病人急救、诊疗、转诊全过程，为客户提供更直观更智能的决策场景体验。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0" w:type="auto"/>
            <w:gridSpan w:val="3"/>
            <w:shd w:val="clear" w:color="000000" w:fill="D9D9D9"/>
            <w:noWrap/>
            <w:vAlign w:val="center"/>
          </w:tcPr>
          <w:p>
            <w:pPr>
              <w:widowControl/>
              <w:jc w:val="left"/>
              <w:rPr>
                <w:rFonts w:ascii="仿宋" w:hAnsi="仿宋" w:eastAsia="仿宋" w:cs="宋体"/>
                <w:b/>
                <w:bCs/>
                <w:kern w:val="0"/>
                <w:sz w:val="28"/>
                <w:szCs w:val="28"/>
              </w:rPr>
            </w:pPr>
            <w:r>
              <w:rPr>
                <w:rFonts w:hint="eastAsia" w:ascii="仿宋" w:hAnsi="仿宋" w:eastAsia="仿宋" w:cs="宋体"/>
                <w:b/>
                <w:bCs/>
                <w:kern w:val="0"/>
                <w:sz w:val="28"/>
                <w:szCs w:val="28"/>
              </w:rPr>
              <w:t>二、卒中急救管理信息系统软件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10</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卒中路径管理平台</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院内卒中急救质控管理，提供卒中急救流程环节和质控点定义和图形化呈现，提供卒中急救质控指标统计和数据导出，为卒中急救流程的PDCA改进和医疗资源调度提供重要数据支撑。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11</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卒中急救移动工作站</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供急救小组在患者急救过程中使用，提供绿色通道患者信息管理、关键环节的诊疗动作确认等功能，通过点选、二维码快速扫描等方式，保障数据的准确性和客观性。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12</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卒中急救工作流集成系统</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面向卒中急救的院前院内工作流的集成系统。对接和提取现有信息系统中卒中相关的专病数据集、ECIS预检分诊系统改造、内外网数据同步、多种二维码的准备、时间校准与核对、系统应用及维护培训等。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13</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卒中专病数据库</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基于相关医学信息标准，结合卒中临床与科研的实际需要，覆盖卒中患者院前急救，院中诊断和治疗，以及院后管理和康复的完整患者档案，系统支持数据采集、管理、分析、统计和报告。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14</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卒中专病质控管理和运营统计</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院内卒中急救质控管理，提供卒中急救流程环节和质控点定义和图形化呈现，提供卒中急救质控指标统计和数据导出，为卒中急救流程的PDCA改进和医疗资源调度提供重要数据支撑。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15</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卒中数据集成网关</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数据采集平台能够对接HIS、LIS、PACS、急诊信息系统等，获取需要上报的患者信息，避免二次填写，减少上报时的工作量。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16</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卒中中心认证数据采集上报</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按照卒中中心的上报数据标准，将我院卒中病历按卒中中心要求上报至卒中中心的数据平台，同时数据采集平台能够保证内网填写信息上报到外网数据中心整个过程的安全性。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17</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卒中随访管理系统</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以医生为主体，以服务患者为中心，全面满足医院实际随访需求，优化随访流程，提升随访工作效率。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18</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卒中筛查管理系统</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根据国家脑防委发布的筛查量表，为医院的卒中筛查需求提供系统支持。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19</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卒中中心医联体内部数据上报门户</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按照医联体卒中中心的上报数据标准，将我院卒中病历按卒中中心要求上报至医联体卒中中心的数据平台，同时数据采集平台能够保证内网填写信息上报到外网数据中心整个过程的安全性。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0" w:type="auto"/>
            <w:gridSpan w:val="3"/>
            <w:shd w:val="clear" w:color="000000" w:fill="D9D9D9"/>
            <w:noWrap/>
            <w:vAlign w:val="center"/>
          </w:tcPr>
          <w:p>
            <w:pPr>
              <w:widowControl/>
              <w:jc w:val="left"/>
              <w:rPr>
                <w:rFonts w:ascii="仿宋" w:hAnsi="仿宋" w:eastAsia="仿宋" w:cs="宋体"/>
                <w:b/>
                <w:bCs/>
                <w:kern w:val="0"/>
                <w:sz w:val="28"/>
                <w:szCs w:val="28"/>
              </w:rPr>
            </w:pPr>
            <w:r>
              <w:rPr>
                <w:rFonts w:hint="eastAsia" w:ascii="仿宋" w:hAnsi="仿宋" w:eastAsia="仿宋" w:cs="宋体"/>
                <w:b/>
                <w:bCs/>
                <w:kern w:val="0"/>
                <w:sz w:val="28"/>
                <w:szCs w:val="28"/>
              </w:rPr>
              <w:t>三、胸痛急救管理信息系统软件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20</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胸痛路径管理平台</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院内胸痛急救质控管理，提供卒中急救流程环节和质控点定义和图形化呈现，提供胸痛急救质控指标统计和数据导出，为胸痛急救流程的PDCA改进和医疗资源调度提供重要数据支撑。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21</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胸痛急救移动工作站</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供急救小组在患者急救过程中使用，提供绿色通道患者信息管理、关键环节的诊疗动作确认等功能，通过点选、二维码快速扫描等方式，保障数据的准确性和客观性。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22</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胸痛急救工作流集成系统</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面向胸痛急救的院前院内工作流的集成系统。对接和提取现有信息系统中胸痛相关的专病数据集、ECIS预检分诊系统改造、内外网数据同步、多种二维码的准备、时间校准与核对、系统应用及维护培训等。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23</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胸痛专病数据库</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基于相关医学信息标准，结合卒中临床与科研的实际需要，覆盖胸痛患者院前急救，院中诊断和治疗，以及院后管理和康复的完整患者档案，系统支持数据采集、管理、分析、统计和报告。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25</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胸痛专病质控管理和运营统计</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院内胸痛急救质控管理，提供胸痛急救流程环节和质控点定义和图形化呈现，提供胸痛急救质控指标统计和数据导出，为胸痛急救流程的PDCA改进和医疗资源调度提供重要数据支撑。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26</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胸痛数据集成网关</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数据采集平台能够对接HIS、LIS、PACS、急诊信息系统等，获取需要上报的患者信息，避免二次填写，减少上报时的工作量。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27</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胸痛中心认证数据采集上报</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按照胸痛中心的上报数据标准，将我院胸痛病历按卒中中心要求上报至胸痛中心的数据平台，同时数据采集平台能够保证内网填写信息上报到外网数据中心整个过程的安全性。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28</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胸痛随访管理系统</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以医生为主体，以服务患者为中心，全面满足医院实际随访需求，优化随访流程，提升随访工作效率。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29</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胸痛中心医联体内部数据上报门户</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按照医联体胸痛中心的上报数据标准，将我院胸痛病历按胸痛中心要求上报至医联体胸痛中心的数据平台，同时数据采集平台能够保证内网填写信息上报到外网数据中心整个过程的安全性。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0" w:type="auto"/>
            <w:gridSpan w:val="3"/>
            <w:shd w:val="clear" w:color="000000" w:fill="D9D9D9"/>
            <w:noWrap/>
            <w:vAlign w:val="center"/>
          </w:tcPr>
          <w:p>
            <w:pPr>
              <w:widowControl/>
              <w:jc w:val="left"/>
              <w:rPr>
                <w:rFonts w:ascii="仿宋" w:hAnsi="仿宋" w:eastAsia="仿宋" w:cs="宋体"/>
                <w:b/>
                <w:bCs/>
                <w:kern w:val="0"/>
                <w:sz w:val="28"/>
                <w:szCs w:val="28"/>
              </w:rPr>
            </w:pPr>
            <w:r>
              <w:rPr>
                <w:rFonts w:hint="eastAsia" w:ascii="仿宋" w:hAnsi="仿宋" w:eastAsia="仿宋" w:cs="宋体"/>
                <w:b/>
                <w:bCs/>
                <w:kern w:val="0"/>
                <w:sz w:val="28"/>
                <w:szCs w:val="28"/>
              </w:rPr>
              <w:t>四、创伤急救管理信息系统软件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30</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创伤路径管理平台</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院内创伤急救质控管理，提供创伤急救流程环节和质控点定义和图形化呈现，提供创伤急救质控指标统计和数据导出，为创伤急救流程的PDCA改进和医疗资源调度提供重要数据支撑。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31</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创伤急救移动工作站</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供急救小组在患者急救过程中使用，提供绿色通道患者信息管理、关键环节的诊疗动作确认等功能，通过点选、二维码快速扫描等方式，保障数据的准确性和客观性。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32</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创伤急救工作流集成系统</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面向创伤急救的院前院内工作流的集成系统。对接和提取现有信息系统中创伤相关的专病数据集、ECIS预检分诊系统改造、内外网数据同步、多种二维码的准备、时间校准与核对、系统应用及维护培训等。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33</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创伤专病数据库</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基于相关医学信息标准，结合创伤临床与科研的实际需要，覆盖创伤患者院前急救，院中诊断和治疗，以及院后管理和康复的完整患者档案，系统支持数据采集、管理、分析、统计和报告。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34</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创伤专病质控管理和运营统计</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院内创伤急救质控管理，提供创伤急救流程环节和质控点定义和图形化呈现，提供创伤急救质控指标统计和数据导出，为创伤急救流程的PDCA改进和医疗资源调度提供重要数据支撑。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35</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创伤数据集成网关</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数据采集平台能够对接HIS、LIS、PACS、急诊信息系统等，获取需要上报的患者信息，避免二次填写，减少上报时的工作量。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36</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创伤随访管理系统</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以医生为主体，以服务患者为中心，全面满足医院实际随访需求，优化随访流程，提升随访工作效率。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0" w:type="auto"/>
            <w:shd w:val="clear" w:color="auto" w:fill="auto"/>
            <w:noWrap/>
            <w:vAlign w:val="center"/>
          </w:tcPr>
          <w:p>
            <w:pPr>
              <w:widowControl/>
              <w:jc w:val="center"/>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37</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创伤中心医联体内部数据上报门户</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按照医联体创伤中心的上报数据标准，将我院创伤病历按创伤中心要求上报至医联体创伤中心的数据平台，同时数据采集平台能够保证内网填写信息上报到外网数据中心整个过程的安全性。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0" w:type="auto"/>
            <w:gridSpan w:val="3"/>
            <w:shd w:val="clear" w:color="000000" w:fill="D9D9D9"/>
            <w:noWrap/>
            <w:vAlign w:val="center"/>
          </w:tcPr>
          <w:p>
            <w:pPr>
              <w:widowControl/>
              <w:jc w:val="left"/>
              <w:rPr>
                <w:rFonts w:ascii="仿宋" w:hAnsi="仿宋" w:eastAsia="仿宋" w:cs="宋体"/>
                <w:b/>
                <w:bCs/>
                <w:kern w:val="0"/>
                <w:sz w:val="28"/>
                <w:szCs w:val="28"/>
              </w:rPr>
            </w:pPr>
            <w:r>
              <w:rPr>
                <w:rFonts w:hint="eastAsia" w:ascii="仿宋" w:hAnsi="仿宋" w:eastAsia="仿宋" w:cs="宋体"/>
                <w:b/>
                <w:bCs/>
                <w:kern w:val="0"/>
                <w:sz w:val="28"/>
                <w:szCs w:val="28"/>
              </w:rPr>
              <w:t>五、急救管理信息系统软件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0" w:type="auto"/>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38</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服务器管理系统</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提供急诊临床信息系统的各项数据和应用服务功能的管理。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0" w:type="auto"/>
            <w:vMerge w:val="restart"/>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39</w:t>
            </w:r>
          </w:p>
        </w:tc>
        <w:tc>
          <w:tcPr>
            <w:tcW w:w="0" w:type="auto"/>
            <w:vMerge w:val="restart"/>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预检分诊子系统</w:t>
            </w:r>
          </w:p>
        </w:tc>
        <w:tc>
          <w:tcPr>
            <w:tcW w:w="0" w:type="auto"/>
            <w:shd w:val="clear" w:color="auto" w:fill="auto"/>
            <w:vAlign w:val="center"/>
          </w:tcPr>
          <w:p>
            <w:pPr>
              <w:widowControl/>
              <w:rPr>
                <w:rFonts w:ascii="仿宋" w:hAnsi="仿宋" w:eastAsia="仿宋" w:cs="宋体"/>
                <w:color w:val="000000"/>
                <w:kern w:val="0"/>
                <w:sz w:val="28"/>
                <w:szCs w:val="28"/>
              </w:rPr>
            </w:pPr>
            <w:r>
              <w:rPr>
                <w:rFonts w:hint="eastAsia" w:ascii="仿宋" w:hAnsi="仿宋" w:eastAsia="仿宋" w:cs="宋体"/>
                <w:color w:val="000000"/>
                <w:kern w:val="0"/>
                <w:sz w:val="28"/>
                <w:szCs w:val="28"/>
              </w:rPr>
              <w:t>遵循卫健委的《急诊患者病情分级试点指导原则（2011 征求意见稿）》 ，规范急诊预检分诊流程，在实现分诊智能化、均质化的基础上，整合急诊重点病种绿色通道信息化平台。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0" w:type="auto"/>
            <w:vMerge w:val="continue"/>
            <w:vAlign w:val="center"/>
          </w:tcPr>
          <w:p>
            <w:pPr>
              <w:widowControl/>
              <w:jc w:val="left"/>
              <w:rPr>
                <w:rFonts w:ascii="仿宋" w:hAnsi="仿宋" w:eastAsia="仿宋" w:cs="宋体"/>
                <w:color w:val="000000"/>
                <w:kern w:val="0"/>
                <w:sz w:val="28"/>
                <w:szCs w:val="28"/>
              </w:rPr>
            </w:pPr>
          </w:p>
        </w:tc>
        <w:tc>
          <w:tcPr>
            <w:tcW w:w="0" w:type="auto"/>
            <w:vMerge w:val="continue"/>
            <w:vAlign w:val="center"/>
          </w:tcPr>
          <w:p>
            <w:pPr>
              <w:widowControl/>
              <w:jc w:val="left"/>
              <w:rPr>
                <w:rFonts w:ascii="仿宋" w:hAnsi="仿宋" w:eastAsia="仿宋" w:cs="宋体"/>
                <w:color w:val="000000"/>
                <w:kern w:val="0"/>
                <w:sz w:val="28"/>
                <w:szCs w:val="28"/>
              </w:rPr>
            </w:pP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支持分诊登记功能，能够打印腕带，管理急诊抢救患者。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0" w:type="auto"/>
            <w:vMerge w:val="continue"/>
            <w:vAlign w:val="center"/>
          </w:tcPr>
          <w:p>
            <w:pPr>
              <w:widowControl/>
              <w:jc w:val="left"/>
              <w:rPr>
                <w:rFonts w:ascii="仿宋" w:hAnsi="仿宋" w:eastAsia="仿宋" w:cs="宋体"/>
                <w:color w:val="000000"/>
                <w:kern w:val="0"/>
                <w:sz w:val="28"/>
                <w:szCs w:val="28"/>
              </w:rPr>
            </w:pPr>
          </w:p>
        </w:tc>
        <w:tc>
          <w:tcPr>
            <w:tcW w:w="0" w:type="auto"/>
            <w:vMerge w:val="continue"/>
            <w:vAlign w:val="center"/>
          </w:tcPr>
          <w:p>
            <w:pPr>
              <w:widowControl/>
              <w:jc w:val="left"/>
              <w:rPr>
                <w:rFonts w:ascii="仿宋" w:hAnsi="仿宋" w:eastAsia="仿宋" w:cs="宋体"/>
                <w:color w:val="000000"/>
                <w:kern w:val="0"/>
                <w:sz w:val="28"/>
                <w:szCs w:val="28"/>
              </w:rPr>
            </w:pP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支持快速获取身份信息。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0" w:type="auto"/>
            <w:vMerge w:val="continue"/>
            <w:vAlign w:val="center"/>
          </w:tcPr>
          <w:p>
            <w:pPr>
              <w:widowControl/>
              <w:jc w:val="left"/>
              <w:rPr>
                <w:rFonts w:ascii="仿宋" w:hAnsi="仿宋" w:eastAsia="仿宋" w:cs="宋体"/>
                <w:color w:val="000000"/>
                <w:kern w:val="0"/>
                <w:sz w:val="28"/>
                <w:szCs w:val="28"/>
              </w:rPr>
            </w:pPr>
          </w:p>
        </w:tc>
        <w:tc>
          <w:tcPr>
            <w:tcW w:w="0" w:type="auto"/>
            <w:vMerge w:val="continue"/>
            <w:vAlign w:val="center"/>
          </w:tcPr>
          <w:p>
            <w:pPr>
              <w:widowControl/>
              <w:jc w:val="left"/>
              <w:rPr>
                <w:rFonts w:ascii="仿宋" w:hAnsi="仿宋" w:eastAsia="仿宋" w:cs="宋体"/>
                <w:color w:val="000000"/>
                <w:kern w:val="0"/>
                <w:sz w:val="28"/>
                <w:szCs w:val="28"/>
              </w:rPr>
            </w:pP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支持绿色通道。支持群伤、批量抢救患者登记。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0" w:type="auto"/>
            <w:vMerge w:val="continue"/>
            <w:vAlign w:val="center"/>
          </w:tcPr>
          <w:p>
            <w:pPr>
              <w:widowControl/>
              <w:jc w:val="left"/>
              <w:rPr>
                <w:rFonts w:ascii="仿宋" w:hAnsi="仿宋" w:eastAsia="仿宋" w:cs="宋体"/>
                <w:color w:val="000000"/>
                <w:kern w:val="0"/>
                <w:sz w:val="28"/>
                <w:szCs w:val="28"/>
              </w:rPr>
            </w:pPr>
          </w:p>
        </w:tc>
        <w:tc>
          <w:tcPr>
            <w:tcW w:w="0" w:type="auto"/>
            <w:vMerge w:val="continue"/>
            <w:vAlign w:val="center"/>
          </w:tcPr>
          <w:p>
            <w:pPr>
              <w:widowControl/>
              <w:jc w:val="left"/>
              <w:rPr>
                <w:rFonts w:ascii="仿宋" w:hAnsi="仿宋" w:eastAsia="仿宋" w:cs="宋体"/>
                <w:color w:val="000000"/>
                <w:kern w:val="0"/>
                <w:sz w:val="28"/>
                <w:szCs w:val="28"/>
              </w:rPr>
            </w:pP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支持三无患者登记。支持婴幼儿和儿童急诊患者登记建档。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0" w:type="auto"/>
            <w:vMerge w:val="continue"/>
            <w:vAlign w:val="center"/>
          </w:tcPr>
          <w:p>
            <w:pPr>
              <w:widowControl/>
              <w:jc w:val="left"/>
              <w:rPr>
                <w:rFonts w:ascii="仿宋" w:hAnsi="仿宋" w:eastAsia="仿宋" w:cs="宋体"/>
                <w:color w:val="000000"/>
                <w:kern w:val="0"/>
                <w:sz w:val="28"/>
                <w:szCs w:val="28"/>
              </w:rPr>
            </w:pPr>
          </w:p>
        </w:tc>
        <w:tc>
          <w:tcPr>
            <w:tcW w:w="0" w:type="auto"/>
            <w:vMerge w:val="continue"/>
            <w:vAlign w:val="center"/>
          </w:tcPr>
          <w:p>
            <w:pPr>
              <w:widowControl/>
              <w:jc w:val="left"/>
              <w:rPr>
                <w:rFonts w:ascii="仿宋" w:hAnsi="仿宋" w:eastAsia="仿宋" w:cs="宋体"/>
                <w:color w:val="000000"/>
                <w:kern w:val="0"/>
                <w:sz w:val="28"/>
                <w:szCs w:val="28"/>
              </w:rPr>
            </w:pP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体征数据自动采集、上传。能够实现自动分级、自动选择患者流向。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0" w:type="auto"/>
            <w:vMerge w:val="continue"/>
            <w:vAlign w:val="center"/>
          </w:tcPr>
          <w:p>
            <w:pPr>
              <w:widowControl/>
              <w:jc w:val="left"/>
              <w:rPr>
                <w:rFonts w:ascii="仿宋" w:hAnsi="仿宋" w:eastAsia="仿宋" w:cs="宋体"/>
                <w:color w:val="000000"/>
                <w:kern w:val="0"/>
                <w:sz w:val="28"/>
                <w:szCs w:val="28"/>
              </w:rPr>
            </w:pPr>
          </w:p>
        </w:tc>
        <w:tc>
          <w:tcPr>
            <w:tcW w:w="0" w:type="auto"/>
            <w:vMerge w:val="continue"/>
            <w:vAlign w:val="center"/>
          </w:tcPr>
          <w:p>
            <w:pPr>
              <w:widowControl/>
              <w:jc w:val="left"/>
              <w:rPr>
                <w:rFonts w:ascii="仿宋" w:hAnsi="仿宋" w:eastAsia="仿宋" w:cs="宋体"/>
                <w:color w:val="000000"/>
                <w:kern w:val="0"/>
                <w:sz w:val="28"/>
                <w:szCs w:val="28"/>
              </w:rPr>
            </w:pP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对于绿色通道等紧急抢救患者，允许选定床旁监护仪，自动采集体征数据，补录分诊信息。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0" w:type="auto"/>
            <w:vMerge w:val="continue"/>
            <w:vAlign w:val="center"/>
          </w:tcPr>
          <w:p>
            <w:pPr>
              <w:widowControl/>
              <w:jc w:val="left"/>
              <w:rPr>
                <w:rFonts w:ascii="仿宋" w:hAnsi="仿宋" w:eastAsia="仿宋" w:cs="宋体"/>
                <w:color w:val="000000"/>
                <w:kern w:val="0"/>
                <w:sz w:val="28"/>
                <w:szCs w:val="28"/>
              </w:rPr>
            </w:pPr>
          </w:p>
        </w:tc>
        <w:tc>
          <w:tcPr>
            <w:tcW w:w="0" w:type="auto"/>
            <w:vMerge w:val="continue"/>
            <w:vAlign w:val="center"/>
          </w:tcPr>
          <w:p>
            <w:pPr>
              <w:widowControl/>
              <w:jc w:val="left"/>
              <w:rPr>
                <w:rFonts w:ascii="仿宋" w:hAnsi="仿宋" w:eastAsia="仿宋" w:cs="宋体"/>
                <w:color w:val="000000"/>
                <w:kern w:val="0"/>
                <w:sz w:val="28"/>
                <w:szCs w:val="28"/>
              </w:rPr>
            </w:pP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支持评分管理，系统通过评分自动对患者病情按轻重缓急做系统分级。支持MEWS评分、REMS评分、GCS评分、创伤评分、痛疼评分等。内嵌病情分级知识库，提供常用主诉、判定依据集合。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0" w:type="auto"/>
            <w:vMerge w:val="continue"/>
            <w:vAlign w:val="center"/>
          </w:tcPr>
          <w:p>
            <w:pPr>
              <w:widowControl/>
              <w:jc w:val="left"/>
              <w:rPr>
                <w:rFonts w:ascii="仿宋" w:hAnsi="仿宋" w:eastAsia="仿宋" w:cs="宋体"/>
                <w:color w:val="000000"/>
                <w:kern w:val="0"/>
                <w:sz w:val="28"/>
                <w:szCs w:val="28"/>
              </w:rPr>
            </w:pPr>
          </w:p>
        </w:tc>
        <w:tc>
          <w:tcPr>
            <w:tcW w:w="0" w:type="auto"/>
            <w:vMerge w:val="continue"/>
            <w:vAlign w:val="center"/>
          </w:tcPr>
          <w:p>
            <w:pPr>
              <w:widowControl/>
              <w:jc w:val="left"/>
              <w:rPr>
                <w:rFonts w:ascii="仿宋" w:hAnsi="仿宋" w:eastAsia="仿宋" w:cs="宋体"/>
                <w:color w:val="000000"/>
                <w:kern w:val="0"/>
                <w:sz w:val="28"/>
                <w:szCs w:val="28"/>
              </w:rPr>
            </w:pP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根据相关急救原则和规定，对于从120救护车渠道到诊的患者、自行到院的患者、从门诊转急诊的患者，实现合理的挂号分诊流程。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0" w:type="auto"/>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40</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急诊电子病历子系统（抢救区）</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采用结构化电子病历，提供个性化的抢救区模板定制，满足多病种的病历需求，实现快速高效准确的病历记录。同时支持个人信息维护、生命体征与评分展示、就诊区域流转展示。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0" w:type="auto"/>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41</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急诊护理子系统（抢救区）</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提供抢救区护理管理，包括床位管理、医嘱执行，观察项管理，出入量管理，导管管理，评分管理，护理记录等。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0" w:type="auto"/>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42</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急诊电子病历子系统（留观区）</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采用结构化电子病历，提供个性化的留观区模板定制，满足多病种的病历需求，实现快速高效准确的病历记录。同时支持个人信息维护、生命体征与评分展示、就诊区域流转展示。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0" w:type="auto"/>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43</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急诊护理子系统（留观区）</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提供留观区护理管理，包括床位管理、医嘱执行，观察项管理，出入量管理，导管管理，评分管理，护理记录等。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0" w:type="auto"/>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44</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急诊输液管理子系统（含急诊移动输液子系统）</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以急诊输液室工作流程为依据，实现输液室精细化管理，减少护士医嘱处理的时间,提高转抄及执行医嘱正确率,记录护士工作量，提升急诊输液室护士及患者的满意度。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0" w:type="auto"/>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45</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急诊质控管理子系统</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可实现最新的急诊质控指标展示及原始数据追溯，提供多种急诊科室统计，满足科室质控和管理需求。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0" w:type="auto"/>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46</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急诊交接班子系统</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提供交接班统计：全景展示在科患者情况，出入转情况；支持对一个或多个患者进行医生/护理交班。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0" w:type="auto"/>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47</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急诊会诊管理子系统</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支持急会诊、普通会诊、多学科联合会诊，支持完整会诊流程记录，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0" w:type="auto"/>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48</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急诊专科排队叫号子系统</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规范急诊排队叫号流程，实现不同病情的患者不同的排队规则，有效利用有限的急诊资源。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0" w:type="auto"/>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49</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急诊电子看板子系统</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部署于急诊科相关区域，以大屏幕实时清晰呈现急诊医疗资源占用情况、区域内病人一览信息，值班医护基本信息， 是急诊精细化管理的必要组成部分。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0" w:type="auto"/>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50</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急诊电子病历子系统（诊区）</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一个实用性强的诊区医生工作平台，采用结构化电子病历，提供个性化的模板定制，满足多病种的病历需求，实现快速高效准确的病历记录。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0" w:type="auto"/>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51</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移动护理子系统</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支持移动终端在床旁核对患者信息、执行医嘱，通过医嘱闭环实现患者安全管理，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0" w:type="auto"/>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52</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移动查房子系统</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支持移动终端在床旁调阅患者诊疗资料，核对患者信息、查看医嘱执行情况，查阅检查检验报告。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0" w:type="auto"/>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53</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设备集成网关</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与急诊常用仪器(监护仪、呼吸机、输液泵、血气、心肌标志物等)进行通讯，实时采集数据。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0" w:type="auto"/>
            <w:gridSpan w:val="3"/>
            <w:shd w:val="clear" w:color="000000" w:fill="D9D9D9"/>
            <w:noWrap/>
            <w:vAlign w:val="center"/>
          </w:tcPr>
          <w:p>
            <w:pPr>
              <w:widowControl/>
              <w:jc w:val="left"/>
              <w:rPr>
                <w:rFonts w:ascii="仿宋" w:hAnsi="仿宋" w:eastAsia="仿宋" w:cs="宋体"/>
                <w:b/>
                <w:bCs/>
                <w:kern w:val="0"/>
                <w:sz w:val="28"/>
                <w:szCs w:val="28"/>
              </w:rPr>
            </w:pPr>
            <w:r>
              <w:rPr>
                <w:rFonts w:hint="eastAsia" w:ascii="仿宋" w:hAnsi="仿宋" w:eastAsia="仿宋" w:cs="宋体"/>
                <w:b/>
                <w:bCs/>
                <w:kern w:val="0"/>
                <w:sz w:val="28"/>
                <w:szCs w:val="28"/>
              </w:rPr>
              <w:t>六、配套硬件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0" w:type="auto"/>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54</w:t>
            </w:r>
          </w:p>
        </w:tc>
        <w:tc>
          <w:tcPr>
            <w:tcW w:w="0" w:type="auto"/>
            <w:shd w:val="clear" w:color="auto" w:fill="auto"/>
            <w:noWrap/>
            <w:vAlign w:val="center"/>
          </w:tcPr>
          <w:p>
            <w:pPr>
              <w:widowControl/>
              <w:jc w:val="left"/>
              <w:rPr>
                <w:rFonts w:ascii="仿宋" w:hAnsi="仿宋" w:eastAsia="仿宋" w:cs="宋体"/>
                <w:b/>
                <w:bCs/>
                <w:color w:val="000000"/>
                <w:kern w:val="0"/>
                <w:sz w:val="28"/>
                <w:szCs w:val="28"/>
              </w:rPr>
            </w:pPr>
            <w:r>
              <w:rPr>
                <w:rFonts w:hint="eastAsia" w:ascii="仿宋" w:hAnsi="仿宋" w:eastAsia="仿宋" w:cs="宋体"/>
                <w:b/>
                <w:bCs/>
                <w:color w:val="000000"/>
                <w:kern w:val="0"/>
                <w:sz w:val="28"/>
                <w:szCs w:val="28"/>
              </w:rPr>
              <w:t>RFID 传感器</w:t>
            </w:r>
          </w:p>
        </w:tc>
        <w:tc>
          <w:tcPr>
            <w:tcW w:w="0" w:type="auto"/>
            <w:shd w:val="clear" w:color="auto" w:fill="auto"/>
            <w:noWrap/>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10套，信号标需要60个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0" w:type="auto"/>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55</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授时服务</w:t>
            </w:r>
          </w:p>
        </w:tc>
        <w:tc>
          <w:tcPr>
            <w:tcW w:w="0" w:type="auto"/>
            <w:shd w:val="clear" w:color="auto" w:fill="auto"/>
            <w:noWrap/>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一套，麻醉北斗GPS授时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0" w:type="auto"/>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56</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打印机</w:t>
            </w:r>
          </w:p>
        </w:tc>
        <w:tc>
          <w:tcPr>
            <w:tcW w:w="0" w:type="auto"/>
            <w:shd w:val="clear" w:color="auto" w:fill="auto"/>
            <w:noWrap/>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标签、腕带打印（5台）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0" w:type="auto"/>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57</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PDA手持</w:t>
            </w:r>
          </w:p>
        </w:tc>
        <w:tc>
          <w:tcPr>
            <w:tcW w:w="0" w:type="auto"/>
            <w:shd w:val="clear" w:color="auto" w:fill="auto"/>
            <w:noWrap/>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一批，按需安装（15套）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0" w:type="auto"/>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58</w:t>
            </w:r>
          </w:p>
        </w:tc>
        <w:tc>
          <w:tcPr>
            <w:tcW w:w="0" w:type="auto"/>
            <w:shd w:val="clear" w:color="auto" w:fill="auto"/>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大屏一体机</w:t>
            </w:r>
          </w:p>
        </w:tc>
        <w:tc>
          <w:tcPr>
            <w:tcW w:w="0" w:type="auto"/>
            <w:shd w:val="clear" w:color="auto" w:fill="auto"/>
            <w:noWrap/>
            <w:vAlign w:val="center"/>
          </w:tcPr>
          <w:p>
            <w:pPr>
              <w:widowControl/>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3套</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0000000000000000000"/>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等线 Light">
    <w:altName w:val="宋体"/>
    <w:panose1 w:val="00000000000000000000"/>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A2A5E70"/>
    <w:multiLevelType w:val="multilevel"/>
    <w:tmpl w:val="7A2A5E70"/>
    <w:lvl w:ilvl="0" w:tentative="0">
      <w:start w:val="1"/>
      <w:numFmt w:val="decimal"/>
      <w:pStyle w:val="2"/>
      <w:lvlText w:val="%1、"/>
      <w:lvlJc w:val="left"/>
      <w:pPr>
        <w:ind w:left="851" w:hanging="425"/>
      </w:pPr>
      <w:rPr>
        <w:rFonts w:ascii="宋体" w:hAnsi="宋体" w:eastAsia="宋体" w:cstheme="minorBidi"/>
      </w:rPr>
    </w:lvl>
    <w:lvl w:ilvl="1" w:tentative="0">
      <w:start w:val="1"/>
      <w:numFmt w:val="decimal"/>
      <w:pStyle w:val="3"/>
      <w:lvlText w:val="%1.%2"/>
      <w:lvlJc w:val="left"/>
      <w:pPr>
        <w:ind w:left="1418" w:hanging="567"/>
      </w:pPr>
      <w:rPr>
        <w:rFonts w:hint="default" w:eastAsia="宋体" w:asciiTheme="minorEastAsia"/>
        <w:b/>
        <w:i w:val="0"/>
        <w:sz w:val="36"/>
        <w:szCs w:val="36"/>
      </w:rPr>
    </w:lvl>
    <w:lvl w:ilvl="2" w:tentative="0">
      <w:start w:val="1"/>
      <w:numFmt w:val="decimal"/>
      <w:pStyle w:val="4"/>
      <w:lvlText w:val="%1.%2.%3"/>
      <w:lvlJc w:val="left"/>
      <w:pPr>
        <w:ind w:left="993" w:hanging="567"/>
      </w:pPr>
      <w:rPr>
        <w:rFonts w:hint="eastAsia" w:asciiTheme="minorEastAsia" w:hAnsiTheme="minorEastAsia" w:eastAsiaTheme="minorEastAsia"/>
        <w:b/>
        <w:i w:val="0"/>
        <w:sz w:val="30"/>
      </w:rPr>
    </w:lvl>
    <w:lvl w:ilvl="3" w:tentative="0">
      <w:start w:val="1"/>
      <w:numFmt w:val="decimal"/>
      <w:pStyle w:val="5"/>
      <w:lvlText w:val="%1.%2.%3.%4"/>
      <w:lvlJc w:val="left"/>
      <w:pPr>
        <w:ind w:left="2410" w:hanging="708"/>
      </w:pPr>
      <w:rPr>
        <w:rFonts w:hint="eastAsia" w:asciiTheme="minorEastAsia" w:hAnsiTheme="minorEastAsia" w:eastAsiaTheme="minorEastAsia"/>
        <w:b/>
        <w:i w:val="0"/>
        <w:sz w:val="28"/>
      </w:rPr>
    </w:lvl>
    <w:lvl w:ilvl="4" w:tentative="0">
      <w:start w:val="1"/>
      <w:numFmt w:val="decimal"/>
      <w:pStyle w:val="6"/>
      <w:lvlText w:val="%1.%2.%3.%4.%5"/>
      <w:lvlJc w:val="left"/>
      <w:pPr>
        <w:ind w:left="2977" w:hanging="850"/>
      </w:pPr>
      <w:rPr>
        <w:rFonts w:hint="eastAsia" w:eastAsia="宋体"/>
        <w:b/>
        <w:i w:val="0"/>
        <w:sz w:val="24"/>
      </w:rPr>
    </w:lvl>
    <w:lvl w:ilvl="5" w:tentative="0">
      <w:start w:val="1"/>
      <w:numFmt w:val="decimal"/>
      <w:pStyle w:val="7"/>
      <w:lvlText w:val="%1.%2.%3.%4.%5.%6"/>
      <w:lvlJc w:val="left"/>
      <w:pPr>
        <w:ind w:left="3685" w:hanging="1134"/>
      </w:pPr>
      <w:rPr>
        <w:rFonts w:hint="eastAsia" w:eastAsia="宋体"/>
        <w:b/>
        <w:i w:val="0"/>
        <w:sz w:val="24"/>
      </w:rPr>
    </w:lvl>
    <w:lvl w:ilvl="6" w:tentative="0">
      <w:start w:val="1"/>
      <w:numFmt w:val="decimal"/>
      <w:pStyle w:val="8"/>
      <w:lvlText w:val="%1.%2.%3.%4.%5.%6.%7"/>
      <w:lvlJc w:val="left"/>
      <w:pPr>
        <w:ind w:left="4253" w:hanging="1276"/>
      </w:pPr>
      <w:rPr>
        <w:rFonts w:hint="eastAsia" w:ascii="宋体" w:hAnsi="宋体" w:eastAsia="宋体"/>
        <w:b/>
        <w:i w:val="0"/>
        <w:sz w:val="24"/>
        <w:szCs w:val="24"/>
      </w:rPr>
    </w:lvl>
    <w:lvl w:ilvl="7" w:tentative="0">
      <w:start w:val="1"/>
      <w:numFmt w:val="decimal"/>
      <w:lvlText w:val="%1.%2.%3.%4.%5.%6.%7.%8"/>
      <w:lvlJc w:val="left"/>
      <w:pPr>
        <w:ind w:left="4820" w:hanging="1418"/>
      </w:pPr>
      <w:rPr>
        <w:rFonts w:hint="eastAsia"/>
      </w:rPr>
    </w:lvl>
    <w:lvl w:ilvl="8" w:tentative="0">
      <w:start w:val="1"/>
      <w:numFmt w:val="decimal"/>
      <w:lvlText w:val="%1.%2.%3.%4.%5.%6.%7.%8.%9"/>
      <w:lvlJc w:val="left"/>
      <w:pPr>
        <w:ind w:left="5528"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375EBE"/>
    <w:rsid w:val="001E1DB5"/>
    <w:rsid w:val="002A5CA8"/>
    <w:rsid w:val="00375EBE"/>
    <w:rsid w:val="00725B66"/>
    <w:rsid w:val="00C07A08"/>
    <w:rsid w:val="00C74D73"/>
    <w:rsid w:val="00D75AFB"/>
    <w:rsid w:val="42AC0AC2"/>
    <w:rsid w:val="62D93B8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nhideWhenUsed="0" w:uiPriority="99"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9"/>
    <w:pPr>
      <w:keepNext/>
      <w:keepLines/>
      <w:numPr>
        <w:ilvl w:val="0"/>
        <w:numId w:val="1"/>
      </w:numPr>
      <w:spacing w:before="340" w:after="330" w:line="578" w:lineRule="auto"/>
      <w:ind w:left="0" w:firstLine="0"/>
      <w:outlineLvl w:val="0"/>
    </w:pPr>
    <w:rPr>
      <w:rFonts w:ascii="宋体" w:hAnsi="宋体" w:eastAsia="宋体"/>
      <w:b/>
      <w:bCs/>
      <w:kern w:val="44"/>
      <w:sz w:val="44"/>
      <w:szCs w:val="44"/>
    </w:rPr>
  </w:style>
  <w:style w:type="paragraph" w:styleId="3">
    <w:name w:val="heading 2"/>
    <w:basedOn w:val="1"/>
    <w:next w:val="1"/>
    <w:link w:val="16"/>
    <w:unhideWhenUsed/>
    <w:qFormat/>
    <w:uiPriority w:val="0"/>
    <w:pPr>
      <w:keepNext/>
      <w:keepLines/>
      <w:numPr>
        <w:ilvl w:val="1"/>
        <w:numId w:val="1"/>
      </w:numPr>
      <w:spacing w:before="260" w:after="260" w:line="415" w:lineRule="auto"/>
      <w:ind w:left="0" w:firstLine="0"/>
      <w:outlineLvl w:val="1"/>
    </w:pPr>
    <w:rPr>
      <w:rFonts w:eastAsia="宋体" w:asciiTheme="majorHAnsi" w:hAnsiTheme="majorHAnsi" w:cstheme="majorBidi"/>
      <w:b/>
      <w:bCs/>
      <w:sz w:val="36"/>
      <w:szCs w:val="32"/>
    </w:rPr>
  </w:style>
  <w:style w:type="paragraph" w:styleId="4">
    <w:name w:val="heading 3"/>
    <w:basedOn w:val="1"/>
    <w:next w:val="1"/>
    <w:link w:val="17"/>
    <w:unhideWhenUsed/>
    <w:qFormat/>
    <w:uiPriority w:val="0"/>
    <w:pPr>
      <w:keepNext/>
      <w:keepLines/>
      <w:numPr>
        <w:ilvl w:val="2"/>
        <w:numId w:val="1"/>
      </w:numPr>
      <w:spacing w:before="260" w:after="260" w:line="415" w:lineRule="auto"/>
      <w:ind w:left="0" w:firstLine="0"/>
      <w:outlineLvl w:val="2"/>
    </w:pPr>
    <w:rPr>
      <w:rFonts w:eastAsia="宋体"/>
      <w:b/>
      <w:bCs/>
      <w:sz w:val="32"/>
      <w:szCs w:val="32"/>
    </w:rPr>
  </w:style>
  <w:style w:type="paragraph" w:styleId="5">
    <w:name w:val="heading 4"/>
    <w:basedOn w:val="1"/>
    <w:next w:val="1"/>
    <w:link w:val="18"/>
    <w:unhideWhenUsed/>
    <w:qFormat/>
    <w:uiPriority w:val="0"/>
    <w:pPr>
      <w:keepNext/>
      <w:keepLines/>
      <w:numPr>
        <w:ilvl w:val="3"/>
        <w:numId w:val="1"/>
      </w:numPr>
      <w:spacing w:before="280" w:after="290" w:line="377" w:lineRule="auto"/>
      <w:ind w:left="0" w:firstLine="0"/>
      <w:outlineLvl w:val="3"/>
    </w:pPr>
    <w:rPr>
      <w:rFonts w:eastAsia="宋体" w:asciiTheme="majorHAnsi" w:hAnsiTheme="majorHAnsi" w:cstheme="majorBidi"/>
      <w:b/>
      <w:bCs/>
      <w:sz w:val="30"/>
      <w:szCs w:val="28"/>
    </w:rPr>
  </w:style>
  <w:style w:type="paragraph" w:styleId="6">
    <w:name w:val="heading 5"/>
    <w:basedOn w:val="1"/>
    <w:next w:val="1"/>
    <w:link w:val="19"/>
    <w:unhideWhenUsed/>
    <w:qFormat/>
    <w:uiPriority w:val="0"/>
    <w:pPr>
      <w:keepNext/>
      <w:keepLines/>
      <w:numPr>
        <w:ilvl w:val="4"/>
        <w:numId w:val="1"/>
      </w:numPr>
      <w:spacing w:before="280" w:after="290" w:line="377" w:lineRule="auto"/>
      <w:ind w:left="0" w:firstLine="0"/>
      <w:outlineLvl w:val="4"/>
    </w:pPr>
    <w:rPr>
      <w:rFonts w:ascii="宋体" w:hAnsi="宋体" w:eastAsia="宋体"/>
      <w:b/>
      <w:bCs/>
      <w:sz w:val="28"/>
      <w:szCs w:val="28"/>
    </w:rPr>
  </w:style>
  <w:style w:type="paragraph" w:styleId="7">
    <w:name w:val="heading 6"/>
    <w:basedOn w:val="1"/>
    <w:next w:val="1"/>
    <w:link w:val="20"/>
    <w:unhideWhenUsed/>
    <w:qFormat/>
    <w:uiPriority w:val="0"/>
    <w:pPr>
      <w:keepNext/>
      <w:keepLines/>
      <w:numPr>
        <w:ilvl w:val="5"/>
        <w:numId w:val="1"/>
      </w:numPr>
      <w:spacing w:before="240" w:after="64" w:line="319" w:lineRule="auto"/>
      <w:ind w:left="0" w:firstLine="0"/>
      <w:outlineLvl w:val="5"/>
    </w:pPr>
    <w:rPr>
      <w:rFonts w:ascii="宋体" w:hAnsi="宋体" w:eastAsiaTheme="majorEastAsia" w:cstheme="majorBidi"/>
      <w:b/>
      <w:bCs/>
      <w:sz w:val="24"/>
      <w:szCs w:val="24"/>
    </w:rPr>
  </w:style>
  <w:style w:type="paragraph" w:styleId="8">
    <w:name w:val="heading 7"/>
    <w:basedOn w:val="1"/>
    <w:next w:val="1"/>
    <w:link w:val="21"/>
    <w:unhideWhenUsed/>
    <w:qFormat/>
    <w:uiPriority w:val="0"/>
    <w:pPr>
      <w:keepNext/>
      <w:keepLines/>
      <w:numPr>
        <w:ilvl w:val="6"/>
        <w:numId w:val="1"/>
      </w:numPr>
      <w:spacing w:before="240" w:after="64" w:line="319" w:lineRule="auto"/>
      <w:ind w:left="0" w:firstLine="0"/>
      <w:outlineLvl w:val="6"/>
    </w:pPr>
    <w:rPr>
      <w:b/>
      <w:bCs/>
      <w:sz w:val="24"/>
      <w:szCs w:val="24"/>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9">
    <w:name w:val="footer"/>
    <w:basedOn w:val="1"/>
    <w:link w:val="14"/>
    <w:semiHidden/>
    <w:unhideWhenUsed/>
    <w:qFormat/>
    <w:uiPriority w:val="99"/>
    <w:pPr>
      <w:tabs>
        <w:tab w:val="center" w:pos="4153"/>
        <w:tab w:val="right" w:pos="8306"/>
      </w:tabs>
      <w:snapToGrid w:val="0"/>
      <w:jc w:val="left"/>
    </w:pPr>
    <w:rPr>
      <w:sz w:val="18"/>
      <w:szCs w:val="18"/>
    </w:rPr>
  </w:style>
  <w:style w:type="paragraph" w:styleId="10">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3">
    <w:name w:val="页眉 Char"/>
    <w:basedOn w:val="12"/>
    <w:link w:val="10"/>
    <w:semiHidden/>
    <w:qFormat/>
    <w:uiPriority w:val="99"/>
    <w:rPr>
      <w:sz w:val="18"/>
      <w:szCs w:val="18"/>
    </w:rPr>
  </w:style>
  <w:style w:type="character" w:customStyle="1" w:styleId="14">
    <w:name w:val="页脚 Char"/>
    <w:basedOn w:val="12"/>
    <w:link w:val="9"/>
    <w:semiHidden/>
    <w:qFormat/>
    <w:uiPriority w:val="99"/>
    <w:rPr>
      <w:sz w:val="18"/>
      <w:szCs w:val="18"/>
    </w:rPr>
  </w:style>
  <w:style w:type="character" w:customStyle="1" w:styleId="15">
    <w:name w:val="标题 1 Char"/>
    <w:basedOn w:val="12"/>
    <w:link w:val="2"/>
    <w:qFormat/>
    <w:uiPriority w:val="9"/>
    <w:rPr>
      <w:rFonts w:ascii="宋体" w:hAnsi="宋体" w:eastAsia="宋体"/>
      <w:b/>
      <w:bCs/>
      <w:kern w:val="44"/>
      <w:sz w:val="44"/>
      <w:szCs w:val="44"/>
    </w:rPr>
  </w:style>
  <w:style w:type="character" w:customStyle="1" w:styleId="16">
    <w:name w:val="标题 2 Char"/>
    <w:basedOn w:val="12"/>
    <w:link w:val="3"/>
    <w:qFormat/>
    <w:uiPriority w:val="0"/>
    <w:rPr>
      <w:rFonts w:eastAsia="宋体" w:asciiTheme="majorHAnsi" w:hAnsiTheme="majorHAnsi" w:cstheme="majorBidi"/>
      <w:b/>
      <w:bCs/>
      <w:sz w:val="36"/>
      <w:szCs w:val="32"/>
    </w:rPr>
  </w:style>
  <w:style w:type="character" w:customStyle="1" w:styleId="17">
    <w:name w:val="标题 3 Char"/>
    <w:basedOn w:val="12"/>
    <w:link w:val="4"/>
    <w:qFormat/>
    <w:uiPriority w:val="0"/>
    <w:rPr>
      <w:rFonts w:eastAsia="宋体"/>
      <w:b/>
      <w:bCs/>
      <w:sz w:val="32"/>
      <w:szCs w:val="32"/>
    </w:rPr>
  </w:style>
  <w:style w:type="character" w:customStyle="1" w:styleId="18">
    <w:name w:val="标题 4 Char"/>
    <w:basedOn w:val="12"/>
    <w:link w:val="5"/>
    <w:qFormat/>
    <w:uiPriority w:val="0"/>
    <w:rPr>
      <w:rFonts w:eastAsia="宋体" w:asciiTheme="majorHAnsi" w:hAnsiTheme="majorHAnsi" w:cstheme="majorBidi"/>
      <w:b/>
      <w:bCs/>
      <w:sz w:val="30"/>
      <w:szCs w:val="28"/>
    </w:rPr>
  </w:style>
  <w:style w:type="character" w:customStyle="1" w:styleId="19">
    <w:name w:val="标题 5 Char"/>
    <w:basedOn w:val="12"/>
    <w:link w:val="6"/>
    <w:qFormat/>
    <w:uiPriority w:val="0"/>
    <w:rPr>
      <w:rFonts w:ascii="宋体" w:hAnsi="宋体" w:eastAsia="宋体"/>
      <w:b/>
      <w:bCs/>
      <w:sz w:val="28"/>
      <w:szCs w:val="28"/>
    </w:rPr>
  </w:style>
  <w:style w:type="character" w:customStyle="1" w:styleId="20">
    <w:name w:val="标题 6 Char"/>
    <w:basedOn w:val="12"/>
    <w:link w:val="7"/>
    <w:qFormat/>
    <w:uiPriority w:val="0"/>
    <w:rPr>
      <w:rFonts w:ascii="宋体" w:hAnsi="宋体" w:eastAsiaTheme="majorEastAsia" w:cstheme="majorBidi"/>
      <w:b/>
      <w:bCs/>
      <w:sz w:val="24"/>
      <w:szCs w:val="24"/>
    </w:rPr>
  </w:style>
  <w:style w:type="character" w:customStyle="1" w:styleId="21">
    <w:name w:val="标题 7 Char"/>
    <w:basedOn w:val="12"/>
    <w:link w:val="8"/>
    <w:qFormat/>
    <w:uiPriority w:val="0"/>
    <w:rPr>
      <w:b/>
      <w:bCs/>
      <w:sz w:val="24"/>
      <w:szCs w:val="24"/>
    </w:rPr>
  </w:style>
  <w:style w:type="paragraph" w:styleId="22">
    <w:name w:val="No Spacing"/>
    <w:link w:val="23"/>
    <w:qFormat/>
    <w:uiPriority w:val="1"/>
    <w:pPr>
      <w:widowControl w:val="0"/>
      <w:spacing w:line="360" w:lineRule="auto"/>
      <w:ind w:firstLine="200" w:firstLineChars="200"/>
      <w:jc w:val="both"/>
    </w:pPr>
    <w:rPr>
      <w:rFonts w:asciiTheme="minorHAnsi" w:hAnsiTheme="minorHAnsi" w:eastAsiaTheme="minorEastAsia" w:cstheme="minorBidi"/>
      <w:kern w:val="2"/>
      <w:sz w:val="24"/>
      <w:szCs w:val="22"/>
      <w:lang w:val="en-US" w:eastAsia="zh-CN" w:bidi="ar-SA"/>
    </w:rPr>
  </w:style>
  <w:style w:type="character" w:customStyle="1" w:styleId="23">
    <w:name w:val="无间隔 Char"/>
    <w:link w:val="22"/>
    <w:qFormat/>
    <w:uiPriority w:val="1"/>
    <w:rPr>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908</Words>
  <Characters>5182</Characters>
  <Lines>43</Lines>
  <Paragraphs>12</Paragraphs>
  <TotalTime>34</TotalTime>
  <ScaleCrop>false</ScaleCrop>
  <LinksUpToDate>false</LinksUpToDate>
  <CharactersWithSpaces>6078</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2020-09-11T07:25:00Z</dcterms:created>
  <dc:creator> </dc:creator>
  <cp:lastModifiedBy>李</cp:lastModifiedBy>
  <dcterms:modified xsi:type="dcterms:W3CDTF">2021-03-26T06:33:08Z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340ADA5A9812416D966171A119ED571C</vt:lpwstr>
  </property>
</Properties>
</file>