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EFF9DC">
      <w:pPr>
        <w:jc w:val="center"/>
        <w:rPr>
          <w:rFonts w:hint="eastAsia"/>
          <w:sz w:val="32"/>
          <w:szCs w:val="32"/>
        </w:rPr>
      </w:pPr>
      <w:r>
        <w:rPr>
          <w:rFonts w:hint="eastAsia"/>
          <w:sz w:val="32"/>
          <w:szCs w:val="32"/>
        </w:rPr>
        <w:t>信用就医场景扩面工作相关系统改造及接口开发项目</w:t>
      </w:r>
    </w:p>
    <w:p w14:paraId="3A542C4E">
      <w:pPr>
        <w:jc w:val="center"/>
        <w:rPr>
          <w:rFonts w:hint="eastAsia"/>
          <w:sz w:val="32"/>
          <w:szCs w:val="32"/>
          <w:lang w:val="en-US" w:eastAsia="zh-CN"/>
        </w:rPr>
      </w:pPr>
      <w:r>
        <w:rPr>
          <w:rFonts w:hint="eastAsia"/>
          <w:sz w:val="32"/>
          <w:szCs w:val="32"/>
          <w:lang w:val="en-US" w:eastAsia="zh-CN"/>
        </w:rPr>
        <w:t>市场调研需求</w:t>
      </w:r>
    </w:p>
    <w:p w14:paraId="0E933FA8">
      <w:pPr>
        <w:pStyle w:val="3"/>
        <w:widowControl w:val="0"/>
        <w:numPr>
          <w:ilvl w:val="0"/>
          <w:numId w:val="1"/>
        </w:numPr>
        <w:spacing w:line="360" w:lineRule="auto"/>
        <w:jc w:val="both"/>
        <w:rPr>
          <w:rFonts w:hint="eastAsia" w:ascii="宋体" w:hAnsi="宋体" w:cs="方正仿宋_GB2312"/>
          <w:color w:val="000000"/>
        </w:rPr>
      </w:pPr>
      <w:r>
        <w:rPr>
          <w:rFonts w:hint="eastAsia" w:ascii="宋体" w:hAnsi="宋体" w:cs="方正仿宋_GB2312"/>
          <w:color w:val="000000"/>
        </w:rPr>
        <w:t>★技术参数总体要求</w:t>
      </w:r>
    </w:p>
    <w:p w14:paraId="15AD5C1C">
      <w:pPr>
        <w:widowControl w:val="0"/>
        <w:numPr>
          <w:ilvl w:val="0"/>
          <w:numId w:val="2"/>
        </w:numPr>
        <w:spacing w:line="360" w:lineRule="auto"/>
        <w:ind w:firstLine="420" w:firstLineChars="200"/>
        <w:rPr>
          <w:rFonts w:hint="default"/>
          <w:lang w:val="en-US" w:eastAsia="zh-CN"/>
        </w:rPr>
      </w:pPr>
      <w:r>
        <w:rPr>
          <w:rFonts w:hint="eastAsia" w:ascii="宋体" w:hAnsi="宋体" w:cs="方正仿宋_GB2312"/>
          <w:color w:val="000000"/>
          <w:lang w:val="en-US" w:eastAsia="zh-CN"/>
        </w:rPr>
        <w:t>信用就医与交通银行接口对接</w:t>
      </w:r>
      <w:r>
        <w:rPr>
          <w:rFonts w:hint="eastAsia" w:ascii="宋体" w:hAnsi="宋体" w:cs="方正仿宋_GB2312"/>
          <w:color w:val="000000"/>
        </w:rPr>
        <w:t>应符合《</w:t>
      </w:r>
      <w:r>
        <w:rPr>
          <w:rFonts w:hint="eastAsia" w:ascii="宋体" w:hAnsi="宋体" w:cs="方正仿宋_GB2312"/>
          <w:color w:val="000000"/>
          <w:lang w:val="en-US" w:eastAsia="zh-CN"/>
        </w:rPr>
        <w:t>交通银行金融开放平台信用就医对外输出 API 接口文档 V4.7</w:t>
      </w:r>
      <w:r>
        <w:rPr>
          <w:rFonts w:hint="eastAsia" w:ascii="宋体" w:hAnsi="宋体" w:cs="方正仿宋_GB2312"/>
          <w:color w:val="000000"/>
        </w:rPr>
        <w:t>》</w:t>
      </w:r>
      <w:r>
        <w:rPr>
          <w:rFonts w:hint="eastAsia" w:ascii="宋体" w:hAnsi="宋体" w:cs="方正仿宋_GB2312"/>
          <w:color w:val="000000"/>
          <w:lang w:val="en-US" w:eastAsia="zh-CN"/>
        </w:rPr>
        <w:t>版本要求</w:t>
      </w:r>
    </w:p>
    <w:p w14:paraId="3F6A11A9">
      <w:pPr>
        <w:widowControl w:val="0"/>
        <w:numPr>
          <w:ilvl w:val="0"/>
          <w:numId w:val="2"/>
        </w:numPr>
        <w:spacing w:line="360" w:lineRule="auto"/>
        <w:ind w:firstLine="420" w:firstLineChars="200"/>
        <w:rPr>
          <w:rFonts w:hint="default" w:ascii="宋体" w:hAnsi="宋体" w:cs="方正仿宋_GB2312"/>
          <w:color w:val="000000"/>
          <w:lang w:val="en-US" w:eastAsia="zh-CN"/>
        </w:rPr>
      </w:pPr>
      <w:r>
        <w:rPr>
          <w:rFonts w:hint="eastAsia" w:ascii="宋体" w:hAnsi="宋体" w:cs="方正仿宋_GB2312"/>
          <w:color w:val="000000"/>
          <w:lang w:val="en-US" w:eastAsia="zh-CN"/>
        </w:rPr>
        <w:t>数据加密解密需使用交通银行下发的“product_medichmd_api_0001_信用就医SDK包”进行封装传输</w:t>
      </w:r>
    </w:p>
    <w:p w14:paraId="44D2EF16">
      <w:pPr>
        <w:widowControl w:val="0"/>
        <w:numPr>
          <w:ilvl w:val="0"/>
          <w:numId w:val="2"/>
        </w:numPr>
        <w:spacing w:line="360" w:lineRule="auto"/>
        <w:ind w:firstLine="420" w:firstLineChars="200"/>
        <w:rPr>
          <w:rFonts w:hint="default" w:ascii="宋体" w:hAnsi="宋体" w:cs="方正仿宋_GB2312"/>
          <w:color w:val="000000"/>
          <w:lang w:val="en-US" w:eastAsia="zh-CN"/>
        </w:rPr>
      </w:pPr>
      <w:r>
        <w:rPr>
          <w:rFonts w:hint="eastAsia" w:ascii="宋体" w:hAnsi="宋体" w:cs="方正仿宋_GB2312"/>
          <w:color w:val="000000"/>
          <w:lang w:val="en-US" w:eastAsia="zh-CN"/>
        </w:rPr>
        <w:t>数据交换安全需符合成都市第五人民医院系统接入安全和交通银行接入安全要求</w:t>
      </w:r>
    </w:p>
    <w:p w14:paraId="11EBE83C">
      <w:pPr>
        <w:widowControl w:val="0"/>
        <w:spacing w:line="360" w:lineRule="auto"/>
        <w:rPr>
          <w:rFonts w:ascii="宋体" w:hAnsi="宋体" w:cs="方正仿宋_GB2312"/>
          <w:color w:val="000000"/>
        </w:rPr>
      </w:pPr>
      <w:r>
        <w:rPr>
          <w:rFonts w:hint="eastAsia" w:ascii="宋体" w:hAnsi="宋体" w:cs="方正仿宋_GB2312"/>
          <w:color w:val="000000"/>
        </w:rPr>
        <w:t>（二）成都市</w:t>
      </w:r>
      <w:r>
        <w:rPr>
          <w:rFonts w:hint="eastAsia" w:ascii="宋体" w:hAnsi="宋体" w:cs="方正仿宋_GB2312"/>
          <w:color w:val="000000"/>
          <w:lang w:val="en-US" w:eastAsia="zh-CN"/>
        </w:rPr>
        <w:t>信用就医</w:t>
      </w:r>
      <w:r>
        <w:rPr>
          <w:rFonts w:ascii="宋体" w:hAnsi="宋体" w:cs="方正仿宋_GB2312"/>
          <w:color w:val="000000"/>
        </w:rPr>
        <w:t>工作</w:t>
      </w:r>
    </w:p>
    <w:p w14:paraId="5E72BC45">
      <w:pPr>
        <w:keepNext w:val="0"/>
        <w:keepLines w:val="0"/>
        <w:widowControl/>
        <w:suppressLineNumbers w:val="0"/>
        <w:jc w:val="left"/>
        <w:rPr>
          <w:rFonts w:hint="default"/>
          <w:lang w:val="en-US" w:eastAsia="zh-CN"/>
        </w:rPr>
      </w:pPr>
      <w:r>
        <w:rPr>
          <w:rFonts w:hint="eastAsia"/>
          <w:lang w:val="en-US" w:eastAsia="zh-CN"/>
        </w:rPr>
        <w:t>1、信用就医签约，实现患者通过合作方渠道信用就医入口，跳转交行信用就医进行签约。</w:t>
      </w:r>
    </w:p>
    <w:p w14:paraId="221F993D">
      <w:pPr>
        <w:keepNext w:val="0"/>
        <w:keepLines w:val="0"/>
        <w:widowControl/>
        <w:suppressLineNumbers w:val="0"/>
        <w:jc w:val="left"/>
        <w:rPr>
          <w:rFonts w:hint="eastAsia"/>
          <w:lang w:val="en-US" w:eastAsia="zh-CN"/>
        </w:rPr>
      </w:pPr>
      <w:r>
        <w:rPr>
          <w:rFonts w:hint="eastAsia"/>
          <w:lang w:val="en-US" w:eastAsia="zh-CN"/>
        </w:rPr>
        <w:t>2、信用就医解约，实现患者通过合作方渠道信用就医入口，跳转交行信用就医进行解约。</w:t>
      </w:r>
    </w:p>
    <w:p w14:paraId="1FBFB33D">
      <w:pPr>
        <w:bidi w:val="0"/>
        <w:spacing w:line="360" w:lineRule="auto"/>
        <w:rPr>
          <w:rFonts w:hint="eastAsia"/>
          <w:lang w:val="en-US" w:eastAsia="zh-CN"/>
        </w:rPr>
      </w:pPr>
      <w:r>
        <w:rPr>
          <w:rFonts w:hint="eastAsia"/>
          <w:lang w:val="en-US" w:eastAsia="zh-CN"/>
        </w:rPr>
        <w:t>3、信用就医签约查询（离院付，亲情付，住院付），用于查询惠民就医签约的结果。</w:t>
      </w:r>
    </w:p>
    <w:p w14:paraId="56FFCE9C">
      <w:pPr>
        <w:bidi w:val="0"/>
        <w:spacing w:line="360" w:lineRule="auto"/>
        <w:rPr>
          <w:rFonts w:hint="eastAsia"/>
          <w:lang w:val="en-US" w:eastAsia="zh-CN"/>
        </w:rPr>
      </w:pPr>
      <w:r>
        <w:rPr>
          <w:rFonts w:hint="eastAsia"/>
          <w:lang w:val="en-US" w:eastAsia="zh-CN"/>
        </w:rPr>
        <w:t>4、信用就医支付校验，校验信用就医额度是否能足额支付自费支付费用。</w:t>
      </w:r>
    </w:p>
    <w:p w14:paraId="1FB2896A">
      <w:pPr>
        <w:bidi w:val="0"/>
        <w:spacing w:line="360" w:lineRule="auto"/>
        <w:rPr>
          <w:rFonts w:hint="eastAsia"/>
          <w:lang w:val="en-US" w:eastAsia="zh-CN"/>
        </w:rPr>
      </w:pPr>
      <w:r>
        <w:rPr>
          <w:rFonts w:hint="eastAsia"/>
          <w:lang w:val="en-US" w:eastAsia="zh-CN"/>
        </w:rPr>
        <w:t>5、信用就医支付，为签约信用就医用户提供支付功能。</w:t>
      </w:r>
    </w:p>
    <w:p w14:paraId="3E98185A">
      <w:pPr>
        <w:bidi w:val="0"/>
        <w:spacing w:line="360" w:lineRule="auto"/>
        <w:rPr>
          <w:rFonts w:hint="eastAsia"/>
          <w:lang w:val="en-US" w:eastAsia="zh-CN"/>
        </w:rPr>
      </w:pPr>
      <w:r>
        <w:rPr>
          <w:rFonts w:hint="eastAsia"/>
          <w:lang w:val="en-US" w:eastAsia="zh-CN"/>
        </w:rPr>
        <w:t>6、信用就医支付查询，支付状态不明时可以通过该接口进行状态查询 。</w:t>
      </w:r>
    </w:p>
    <w:p w14:paraId="22191E79">
      <w:pPr>
        <w:bidi w:val="0"/>
        <w:spacing w:line="360" w:lineRule="auto"/>
        <w:rPr>
          <w:rFonts w:hint="eastAsia"/>
          <w:lang w:val="en-US" w:eastAsia="zh-CN"/>
        </w:rPr>
      </w:pPr>
      <w:r>
        <w:rPr>
          <w:rFonts w:hint="eastAsia"/>
          <w:lang w:val="en-US" w:eastAsia="zh-CN"/>
        </w:rPr>
        <w:t>7、支付结果通知，用于接收信用就医支付结果。</w:t>
      </w:r>
    </w:p>
    <w:p w14:paraId="109602F4">
      <w:pPr>
        <w:bidi w:val="0"/>
        <w:spacing w:line="360" w:lineRule="auto"/>
        <w:rPr>
          <w:rFonts w:hint="eastAsia"/>
          <w:lang w:val="en-US" w:eastAsia="zh-CN"/>
        </w:rPr>
      </w:pPr>
      <w:r>
        <w:rPr>
          <w:rFonts w:hint="eastAsia"/>
          <w:lang w:val="en-US" w:eastAsia="zh-CN"/>
        </w:rPr>
        <w:t xml:space="preserve">8、信用就医退款，支持 </w:t>
      </w:r>
      <w:r>
        <w:rPr>
          <w:rFonts w:hint="default"/>
          <w:lang w:val="en-US" w:eastAsia="zh-CN"/>
        </w:rPr>
        <w:t xml:space="preserve">180 </w:t>
      </w:r>
      <w:r>
        <w:rPr>
          <w:rFonts w:hint="eastAsia"/>
          <w:lang w:val="en-US" w:eastAsia="zh-CN"/>
        </w:rPr>
        <w:t>天内退款。</w:t>
      </w:r>
    </w:p>
    <w:p w14:paraId="7D5A03E6">
      <w:pPr>
        <w:bidi w:val="0"/>
        <w:spacing w:line="360" w:lineRule="auto"/>
        <w:rPr>
          <w:rFonts w:hint="eastAsia"/>
          <w:lang w:val="en-US" w:eastAsia="zh-CN"/>
        </w:rPr>
      </w:pPr>
      <w:r>
        <w:rPr>
          <w:rFonts w:hint="eastAsia"/>
          <w:lang w:val="en-US" w:eastAsia="zh-CN"/>
        </w:rPr>
        <w:t>9、信用就医退款查询，对状态不明的退款请求进行查询。</w:t>
      </w:r>
    </w:p>
    <w:p w14:paraId="4C5E9D81">
      <w:pPr>
        <w:bidi w:val="0"/>
        <w:spacing w:line="360" w:lineRule="auto"/>
        <w:rPr>
          <w:rFonts w:hint="eastAsia"/>
          <w:lang w:val="en-US" w:eastAsia="zh-CN"/>
        </w:rPr>
      </w:pPr>
      <w:r>
        <w:rPr>
          <w:rFonts w:hint="eastAsia"/>
          <w:lang w:val="en-US" w:eastAsia="zh-CN"/>
        </w:rPr>
        <w:t>10、退款结果通知、用于接收信用就医退款结果</w:t>
      </w:r>
    </w:p>
    <w:p w14:paraId="2D04F7F9">
      <w:pPr>
        <w:bidi w:val="0"/>
        <w:spacing w:line="360" w:lineRule="auto"/>
        <w:rPr>
          <w:rFonts w:hint="eastAsia"/>
          <w:lang w:val="en-US" w:eastAsia="zh-CN"/>
        </w:rPr>
      </w:pPr>
      <w:r>
        <w:rPr>
          <w:rFonts w:hint="eastAsia"/>
          <w:lang w:val="en-US" w:eastAsia="zh-CN"/>
        </w:rPr>
        <w:t>11、信用就医下载账单，银行交易完成清算后提供对账单下载功能，可以查询一个月内任意一天的对账信息。</w:t>
      </w:r>
    </w:p>
    <w:p w14:paraId="1A279E25">
      <w:pPr>
        <w:bidi w:val="0"/>
        <w:spacing w:line="360" w:lineRule="auto"/>
        <w:rPr>
          <w:rFonts w:hint="eastAsia"/>
          <w:lang w:val="en-US" w:eastAsia="zh-CN"/>
        </w:rPr>
      </w:pPr>
      <w:r>
        <w:rPr>
          <w:rFonts w:hint="eastAsia"/>
          <w:lang w:val="en-US" w:eastAsia="zh-CN"/>
        </w:rPr>
        <w:t>12、暂收金额查询、为使医疗机构转入退款预留金后，能够实时查询余额新增此接。</w:t>
      </w:r>
    </w:p>
    <w:p w14:paraId="4FBA0084">
      <w:pPr>
        <w:bidi w:val="0"/>
        <w:spacing w:line="360" w:lineRule="auto"/>
        <w:rPr>
          <w:rFonts w:hint="eastAsia"/>
          <w:lang w:val="en-US" w:eastAsia="zh-CN"/>
        </w:rPr>
      </w:pPr>
      <w:r>
        <w:rPr>
          <w:rFonts w:hint="eastAsia"/>
          <w:lang w:val="en-US" w:eastAsia="zh-CN"/>
        </w:rPr>
        <w:t>13、微信公众号在首页添加信用就医功能模块，患者在进入后判断患者签约状态，如未签约添加签约按钮指引用户跳转到银行小程序进行签约。</w:t>
      </w:r>
    </w:p>
    <w:p w14:paraId="6D146B55">
      <w:pPr>
        <w:bidi w:val="0"/>
        <w:spacing w:line="360" w:lineRule="auto"/>
        <w:rPr>
          <w:rFonts w:hint="default"/>
          <w:lang w:val="en-US" w:eastAsia="zh-CN"/>
        </w:rPr>
      </w:pPr>
      <w:r>
        <w:rPr>
          <w:rFonts w:hint="eastAsia"/>
          <w:lang w:val="en-US" w:eastAsia="zh-CN"/>
        </w:rPr>
        <w:t>14、支持微信公众号实现信用就医签约查询，为患者公众号支付选择信用就医做准备。</w:t>
      </w:r>
    </w:p>
    <w:p w14:paraId="5F700708">
      <w:pPr>
        <w:bidi w:val="0"/>
        <w:spacing w:line="360" w:lineRule="auto"/>
        <w:rPr>
          <w:rFonts w:hint="default"/>
          <w:lang w:val="en-US" w:eastAsia="zh-CN"/>
        </w:rPr>
      </w:pPr>
      <w:r>
        <w:rPr>
          <w:rFonts w:hint="eastAsia"/>
          <w:lang w:val="en-US" w:eastAsia="zh-CN"/>
        </w:rPr>
        <w:t>15、支持微信公众号实现挂号信用就医支付，签约患者在微信公众号挂号时可以选择信用就医支付。</w:t>
      </w:r>
    </w:p>
    <w:p w14:paraId="554A119F">
      <w:pPr>
        <w:bidi w:val="0"/>
        <w:spacing w:line="360" w:lineRule="auto"/>
        <w:rPr>
          <w:rFonts w:hint="default"/>
          <w:lang w:val="en-US" w:eastAsia="zh-CN"/>
        </w:rPr>
      </w:pPr>
      <w:r>
        <w:rPr>
          <w:rFonts w:hint="eastAsia"/>
          <w:lang w:val="en-US" w:eastAsia="zh-CN"/>
        </w:rPr>
        <w:t>16、支持微信公众号实现门诊缴费信用就医支付，签约患者在微信公众号缴费时可以选择信用就医支付。</w:t>
      </w:r>
    </w:p>
    <w:p w14:paraId="5B28F93A">
      <w:pPr>
        <w:bidi w:val="0"/>
        <w:spacing w:line="360" w:lineRule="auto"/>
        <w:rPr>
          <w:rFonts w:hint="eastAsia"/>
          <w:lang w:val="en-US" w:eastAsia="zh-CN"/>
        </w:rPr>
      </w:pPr>
      <w:r>
        <w:rPr>
          <w:rFonts w:hint="eastAsia"/>
          <w:lang w:val="en-US" w:eastAsia="zh-CN"/>
        </w:rPr>
        <w:t>17、支持微信公众号实现住院预交金信用就医支付改造，签约患者在微信公众号缴纳住院预交金时可以选择信用就医支付。</w:t>
      </w:r>
    </w:p>
    <w:p w14:paraId="6EBBB55F">
      <w:pPr>
        <w:bidi w:val="0"/>
        <w:spacing w:line="360" w:lineRule="auto"/>
        <w:rPr>
          <w:rFonts w:hint="eastAsia"/>
          <w:lang w:val="en-US" w:eastAsia="zh-CN"/>
        </w:rPr>
      </w:pPr>
      <w:r>
        <w:rPr>
          <w:rFonts w:hint="eastAsia"/>
          <w:lang w:val="en-US" w:eastAsia="zh-CN"/>
        </w:rPr>
        <w:t>18、支持院内门诊挂号收费、门诊医生站、入院登记、出院结算等程序实现信用就医签约查询，为信用就医支付做准备。</w:t>
      </w:r>
    </w:p>
    <w:p w14:paraId="104602EE">
      <w:pPr>
        <w:bidi w:val="0"/>
        <w:spacing w:line="360" w:lineRule="auto"/>
        <w:rPr>
          <w:rFonts w:hint="default"/>
          <w:lang w:val="en-US" w:eastAsia="zh-CN"/>
        </w:rPr>
      </w:pPr>
      <w:r>
        <w:rPr>
          <w:rFonts w:hint="eastAsia"/>
          <w:lang w:val="en-US" w:eastAsia="zh-CN"/>
        </w:rPr>
        <w:t>19、支持院内门诊医生站信用就医支付，医生开完单据后为患者提供信用就医诊间支付。</w:t>
      </w:r>
    </w:p>
    <w:p w14:paraId="2D65D5C7">
      <w:pPr>
        <w:bidi w:val="0"/>
        <w:spacing w:line="360" w:lineRule="auto"/>
        <w:rPr>
          <w:rFonts w:hint="default"/>
          <w:lang w:val="en-US" w:eastAsia="zh-CN"/>
        </w:rPr>
      </w:pPr>
      <w:r>
        <w:rPr>
          <w:rFonts w:hint="eastAsia"/>
          <w:lang w:val="en-US" w:eastAsia="zh-CN"/>
        </w:rPr>
        <w:t>20、支持门诊医生站信用就医退费，支持门诊医生站信用就医支付后退费功能。</w:t>
      </w:r>
    </w:p>
    <w:p w14:paraId="1EE77675">
      <w:pPr>
        <w:bidi w:val="0"/>
        <w:spacing w:line="360" w:lineRule="auto"/>
        <w:rPr>
          <w:rFonts w:hint="default"/>
          <w:lang w:val="en-US" w:eastAsia="zh-CN"/>
        </w:rPr>
      </w:pPr>
      <w:r>
        <w:rPr>
          <w:rFonts w:hint="eastAsia"/>
          <w:lang w:val="en-US" w:eastAsia="zh-CN"/>
        </w:rPr>
        <w:t>21、支持住院预交金信用就医支付改造，患者窗口缴纳预交金时可选择信用就医支付。</w:t>
      </w:r>
    </w:p>
    <w:p w14:paraId="6254D53C">
      <w:pPr>
        <w:bidi w:val="0"/>
        <w:spacing w:line="360" w:lineRule="auto"/>
        <w:rPr>
          <w:rFonts w:hint="default"/>
          <w:lang w:val="en-US" w:eastAsia="zh-CN"/>
        </w:rPr>
      </w:pPr>
      <w:r>
        <w:rPr>
          <w:rFonts w:hint="eastAsia"/>
          <w:lang w:val="en-US" w:eastAsia="zh-CN"/>
        </w:rPr>
        <w:t>22、支持住院预交金信用就医退款改造，支持患者在窗口、自助机、微信公众号等不同渠道缴纳的预交金能窗口原路径退款。</w:t>
      </w:r>
    </w:p>
    <w:p w14:paraId="764B1953">
      <w:pPr>
        <w:bidi w:val="0"/>
        <w:spacing w:line="360" w:lineRule="auto"/>
        <w:rPr>
          <w:rFonts w:hint="default"/>
          <w:lang w:val="en-US" w:eastAsia="zh-CN"/>
        </w:rPr>
      </w:pPr>
      <w:r>
        <w:rPr>
          <w:rFonts w:hint="eastAsia"/>
          <w:lang w:val="en-US" w:eastAsia="zh-CN"/>
        </w:rPr>
        <w:t>23、支持住院结算信用就医支付改造，患者窗口结算时可选择信用就医支付。</w:t>
      </w:r>
    </w:p>
    <w:p w14:paraId="52FD0472">
      <w:pPr>
        <w:bidi w:val="0"/>
        <w:spacing w:line="360" w:lineRule="auto"/>
        <w:rPr>
          <w:rFonts w:hint="eastAsia"/>
          <w:lang w:val="en-US" w:eastAsia="zh-CN"/>
        </w:rPr>
      </w:pPr>
      <w:r>
        <w:rPr>
          <w:rFonts w:hint="eastAsia"/>
          <w:lang w:val="en-US" w:eastAsia="zh-CN"/>
        </w:rPr>
        <w:t>24、支持住院结算信用就医退费改造，支持患者在窗口、自助机、床旁等不同渠道选择信用就医结算的能窗口原路径退款。</w:t>
      </w:r>
    </w:p>
    <w:p w14:paraId="2159D033">
      <w:pPr>
        <w:bidi w:val="0"/>
        <w:spacing w:line="360" w:lineRule="auto"/>
        <w:rPr>
          <w:rFonts w:hint="default"/>
          <w:lang w:val="en-US" w:eastAsia="zh-CN"/>
        </w:rPr>
      </w:pPr>
      <w:r>
        <w:rPr>
          <w:rFonts w:hint="eastAsia"/>
          <w:lang w:val="en-US" w:eastAsia="zh-CN"/>
        </w:rPr>
        <w:t>25、支持信用就医HIS账单查询，查询HIS账单数据和交行账单数据后实现自动对账。</w:t>
      </w:r>
    </w:p>
    <w:p w14:paraId="796EB203">
      <w:pPr>
        <w:bidi w:val="0"/>
        <w:spacing w:line="360" w:lineRule="auto"/>
        <w:rPr>
          <w:rFonts w:hint="default"/>
          <w:lang w:val="en-US" w:eastAsia="zh-CN"/>
        </w:rPr>
      </w:pPr>
      <w:r>
        <w:rPr>
          <w:rFonts w:hint="eastAsia"/>
          <w:lang w:val="en-US" w:eastAsia="zh-CN"/>
        </w:rPr>
        <w:t>26、支持财务统计报表改造，在财务相关报表中体现信用就医支付金额，方便财务做账和核对。</w:t>
      </w:r>
    </w:p>
    <w:p w14:paraId="30AE094F">
      <w:pPr>
        <w:bidi w:val="0"/>
        <w:spacing w:line="360" w:lineRule="auto"/>
        <w:rPr>
          <w:rFonts w:hint="eastAsia"/>
          <w:lang w:val="en-US" w:eastAsia="zh-CN"/>
        </w:rPr>
      </w:pPr>
      <w:r>
        <w:rPr>
          <w:rFonts w:hint="eastAsia"/>
          <w:lang w:val="en-US" w:eastAsia="zh-CN"/>
        </w:rPr>
        <w:t>27、支持自助机患者签约信息查询，为患者选择信用就医支付做准备。</w:t>
      </w:r>
    </w:p>
    <w:p w14:paraId="520707CD">
      <w:pPr>
        <w:bidi w:val="0"/>
        <w:spacing w:line="360" w:lineRule="auto"/>
        <w:rPr>
          <w:rFonts w:hint="default"/>
          <w:lang w:val="en-US" w:eastAsia="zh-CN"/>
        </w:rPr>
      </w:pPr>
      <w:r>
        <w:rPr>
          <w:rFonts w:hint="eastAsia"/>
          <w:lang w:val="en-US" w:eastAsia="zh-CN"/>
        </w:rPr>
        <w:t>28、支持自助机患者门诊缴费信用支付改造，患者自助机自助缴门诊费用时可选择信用就医支付。</w:t>
      </w:r>
    </w:p>
    <w:p w14:paraId="078F0AEC">
      <w:pPr>
        <w:bidi w:val="0"/>
        <w:spacing w:line="360" w:lineRule="auto"/>
        <w:rPr>
          <w:rFonts w:hint="default"/>
          <w:lang w:val="en-US" w:eastAsia="zh-CN"/>
        </w:rPr>
      </w:pPr>
      <w:r>
        <w:rPr>
          <w:rFonts w:hint="eastAsia"/>
          <w:lang w:val="en-US" w:eastAsia="zh-CN"/>
        </w:rPr>
        <w:t>29、支持自助机实现住院预交金信用就医支付改造，患者在自助机自助交预交金可以选择信用就医支付。</w:t>
      </w:r>
    </w:p>
    <w:p w14:paraId="3B6A6EA1">
      <w:pPr>
        <w:bidi w:val="0"/>
        <w:spacing w:line="360" w:lineRule="auto"/>
        <w:rPr>
          <w:rFonts w:hint="default"/>
          <w:lang w:val="en-US" w:eastAsia="zh-CN"/>
        </w:rPr>
      </w:pPr>
      <w:r>
        <w:rPr>
          <w:rFonts w:hint="eastAsia"/>
          <w:lang w:val="en-US" w:eastAsia="zh-CN"/>
        </w:rPr>
        <w:t>30、支持自助机住院结算信用就医支付改造，患者在自助机自助结算时可以选择信用就医支付。</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03"/>
        <w:gridCol w:w="5919"/>
      </w:tblGrid>
      <w:tr w14:paraId="375C1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603" w:type="dxa"/>
            <w:noWrap w:val="0"/>
            <w:vAlign w:val="center"/>
          </w:tcPr>
          <w:p w14:paraId="370287D0">
            <w:pPr>
              <w:jc w:val="center"/>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需求制定责任人</w:t>
            </w:r>
          </w:p>
          <w:p w14:paraId="24C97C3F">
            <w:pPr>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（签字）：</w:t>
            </w:r>
          </w:p>
          <w:p w14:paraId="75F1BD74">
            <w:pPr>
              <w:jc w:val="center"/>
              <w:rPr>
                <w:rFonts w:hint="eastAsia" w:ascii="宋体" w:hAnsi="宋体" w:eastAsia="宋体" w:cs="宋体"/>
                <w:color w:val="000000"/>
                <w:kern w:val="0"/>
                <w:sz w:val="24"/>
                <w:szCs w:val="24"/>
                <w:vertAlign w:val="baseline"/>
                <w:lang w:val="en-US" w:eastAsia="zh-CN" w:bidi="ar"/>
              </w:rPr>
            </w:pPr>
          </w:p>
        </w:tc>
        <w:tc>
          <w:tcPr>
            <w:tcW w:w="5919" w:type="dxa"/>
            <w:noWrap w:val="0"/>
            <w:vAlign w:val="center"/>
          </w:tcPr>
          <w:p w14:paraId="463B19CE">
            <w:pPr>
              <w:jc w:val="both"/>
              <w:rPr>
                <w:rFonts w:hint="eastAsia"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vertAlign w:val="baseline"/>
                <w:lang w:val="en-US" w:eastAsia="zh-CN" w:bidi="ar"/>
              </w:rPr>
              <w:t>意见：</w:t>
            </w:r>
          </w:p>
          <w:p w14:paraId="57284D13">
            <w:pPr>
              <w:jc w:val="both"/>
              <w:rPr>
                <w:rFonts w:hint="eastAsia" w:ascii="宋体" w:hAnsi="宋体" w:eastAsia="宋体" w:cs="宋体"/>
                <w:color w:val="000000"/>
                <w:kern w:val="0"/>
                <w:sz w:val="24"/>
                <w:szCs w:val="24"/>
                <w:vertAlign w:val="baseline"/>
                <w:lang w:val="en-US" w:eastAsia="zh-CN" w:bidi="ar"/>
              </w:rPr>
            </w:pPr>
          </w:p>
          <w:p w14:paraId="20FFA535">
            <w:pPr>
              <w:jc w:val="both"/>
              <w:rPr>
                <w:rFonts w:hint="default"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vertAlign w:val="baseline"/>
                <w:lang w:val="en-US" w:eastAsia="zh-CN" w:bidi="ar"/>
              </w:rPr>
              <w:t xml:space="preserve">                        日期：    年    月    日</w:t>
            </w:r>
          </w:p>
        </w:tc>
      </w:tr>
      <w:tr w14:paraId="0217B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3" w:type="dxa"/>
            <w:noWrap w:val="0"/>
            <w:vAlign w:val="center"/>
          </w:tcPr>
          <w:p w14:paraId="22DBB14F">
            <w:pPr>
              <w:jc w:val="center"/>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需求制定责任人</w:t>
            </w:r>
          </w:p>
          <w:p w14:paraId="66BA3486">
            <w:pPr>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审核（签字）：</w:t>
            </w:r>
          </w:p>
          <w:p w14:paraId="67818DD9">
            <w:pPr>
              <w:jc w:val="center"/>
              <w:rPr>
                <w:rFonts w:hint="eastAsia" w:ascii="宋体" w:hAnsi="宋体" w:eastAsia="宋体" w:cs="宋体"/>
                <w:color w:val="000000"/>
                <w:kern w:val="0"/>
                <w:sz w:val="24"/>
                <w:szCs w:val="24"/>
                <w:vertAlign w:val="baseline"/>
                <w:lang w:val="en-US" w:eastAsia="zh-CN" w:bidi="ar"/>
              </w:rPr>
            </w:pPr>
          </w:p>
        </w:tc>
        <w:tc>
          <w:tcPr>
            <w:tcW w:w="5919" w:type="dxa"/>
            <w:noWrap w:val="0"/>
            <w:vAlign w:val="center"/>
          </w:tcPr>
          <w:p w14:paraId="35D3C652">
            <w:pPr>
              <w:jc w:val="both"/>
              <w:rPr>
                <w:rFonts w:hint="eastAsia"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vertAlign w:val="baseline"/>
                <w:lang w:val="en-US" w:eastAsia="zh-CN" w:bidi="ar"/>
              </w:rPr>
              <w:t>意见：</w:t>
            </w:r>
          </w:p>
          <w:p w14:paraId="68825E10">
            <w:pPr>
              <w:jc w:val="both"/>
              <w:rPr>
                <w:rFonts w:hint="eastAsia" w:ascii="宋体" w:hAnsi="宋体" w:eastAsia="宋体" w:cs="宋体"/>
                <w:color w:val="000000"/>
                <w:kern w:val="0"/>
                <w:sz w:val="24"/>
                <w:szCs w:val="24"/>
                <w:vertAlign w:val="baseline"/>
                <w:lang w:val="en-US" w:eastAsia="zh-CN" w:bidi="ar"/>
              </w:rPr>
            </w:pPr>
            <w:bookmarkStart w:id="0" w:name="_GoBack"/>
            <w:bookmarkEnd w:id="0"/>
          </w:p>
          <w:p w14:paraId="6D971091">
            <w:pPr>
              <w:jc w:val="center"/>
              <w:rPr>
                <w:rFonts w:hint="eastAsia"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vertAlign w:val="baseline"/>
                <w:lang w:val="en-US" w:eastAsia="zh-CN" w:bidi="ar"/>
              </w:rPr>
              <w:t xml:space="preserve">                        日期：    年    月    日</w:t>
            </w:r>
          </w:p>
        </w:tc>
      </w:tr>
      <w:tr w14:paraId="69B32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3" w:type="dxa"/>
            <w:noWrap w:val="0"/>
            <w:vAlign w:val="center"/>
          </w:tcPr>
          <w:p w14:paraId="5540F2C2">
            <w:pPr>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信息统计部负责人审核签字：</w:t>
            </w:r>
          </w:p>
          <w:p w14:paraId="1C33B855">
            <w:pPr>
              <w:jc w:val="center"/>
              <w:rPr>
                <w:rFonts w:hint="eastAsia" w:ascii="宋体" w:hAnsi="宋体" w:eastAsia="宋体" w:cs="宋体"/>
                <w:color w:val="000000"/>
                <w:kern w:val="0"/>
                <w:sz w:val="24"/>
                <w:szCs w:val="24"/>
                <w:vertAlign w:val="baseline"/>
                <w:lang w:val="en-US" w:eastAsia="zh-CN" w:bidi="ar"/>
              </w:rPr>
            </w:pPr>
          </w:p>
        </w:tc>
        <w:tc>
          <w:tcPr>
            <w:tcW w:w="5919" w:type="dxa"/>
            <w:noWrap w:val="0"/>
            <w:vAlign w:val="center"/>
          </w:tcPr>
          <w:p w14:paraId="7C53A3DD">
            <w:pPr>
              <w:jc w:val="both"/>
              <w:rPr>
                <w:rFonts w:hint="eastAsia"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vertAlign w:val="baseline"/>
                <w:lang w:val="en-US" w:eastAsia="zh-CN" w:bidi="ar"/>
              </w:rPr>
              <w:t>意见：</w:t>
            </w:r>
          </w:p>
          <w:p w14:paraId="515DCB86">
            <w:pPr>
              <w:jc w:val="both"/>
              <w:rPr>
                <w:rFonts w:hint="eastAsia" w:ascii="宋体" w:hAnsi="宋体" w:eastAsia="宋体" w:cs="宋体"/>
                <w:color w:val="000000"/>
                <w:kern w:val="0"/>
                <w:sz w:val="24"/>
                <w:szCs w:val="24"/>
                <w:vertAlign w:val="baseline"/>
                <w:lang w:val="en-US" w:eastAsia="zh-CN" w:bidi="ar"/>
              </w:rPr>
            </w:pPr>
          </w:p>
          <w:p w14:paraId="1BB82BB6">
            <w:pPr>
              <w:jc w:val="center"/>
              <w:rPr>
                <w:rFonts w:hint="eastAsia" w:ascii="宋体" w:hAnsi="宋体" w:eastAsia="宋体" w:cs="宋体"/>
                <w:color w:val="000000"/>
                <w:kern w:val="0"/>
                <w:sz w:val="24"/>
                <w:szCs w:val="24"/>
                <w:vertAlign w:val="baseline"/>
                <w:lang w:val="en-US" w:eastAsia="zh-CN" w:bidi="ar"/>
              </w:rPr>
            </w:pPr>
            <w:r>
              <w:rPr>
                <w:rFonts w:hint="eastAsia" w:ascii="宋体" w:hAnsi="宋体" w:eastAsia="宋体" w:cs="宋体"/>
                <w:color w:val="000000"/>
                <w:kern w:val="0"/>
                <w:sz w:val="24"/>
                <w:szCs w:val="24"/>
                <w:vertAlign w:val="baseline"/>
                <w:lang w:val="en-US" w:eastAsia="zh-CN" w:bidi="ar"/>
              </w:rPr>
              <w:t xml:space="preserve">                        日期：    年    月    日</w:t>
            </w:r>
          </w:p>
        </w:tc>
      </w:tr>
    </w:tbl>
    <w:p w14:paraId="3B0D4294">
      <w:pPr>
        <w:keepNext w:val="0"/>
        <w:keepLines w:val="0"/>
        <w:widowControl/>
        <w:suppressLineNumbers w:val="0"/>
        <w:jc w:val="left"/>
        <w:rPr>
          <w:rFonts w:hint="default" w:eastAsia="宋体" w:cs="Times New Roman"/>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9686AB"/>
    <w:multiLevelType w:val="singleLevel"/>
    <w:tmpl w:val="EF9686AB"/>
    <w:lvl w:ilvl="0" w:tentative="0">
      <w:start w:val="1"/>
      <w:numFmt w:val="chineseCounting"/>
      <w:suff w:val="nothing"/>
      <w:lvlText w:val="（%1）"/>
      <w:lvlJc w:val="left"/>
      <w:rPr>
        <w:rFonts w:hint="eastAsia"/>
      </w:rPr>
    </w:lvl>
  </w:abstractNum>
  <w:abstractNum w:abstractNumId="1">
    <w:nsid w:val="4C202002"/>
    <w:multiLevelType w:val="singleLevel"/>
    <w:tmpl w:val="4C202002"/>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1MWQ0NjBmODcxN2NjNTEzOWRkMWU5ZDZjNDc1ZDQifQ=="/>
  </w:docVars>
  <w:rsids>
    <w:rsidRoot w:val="43A63CED"/>
    <w:rsid w:val="013F12DB"/>
    <w:rsid w:val="09862E1C"/>
    <w:rsid w:val="0D2041F6"/>
    <w:rsid w:val="12183726"/>
    <w:rsid w:val="145E00B3"/>
    <w:rsid w:val="230751DE"/>
    <w:rsid w:val="30D90521"/>
    <w:rsid w:val="335257AD"/>
    <w:rsid w:val="34881928"/>
    <w:rsid w:val="348D5F2C"/>
    <w:rsid w:val="35F475EF"/>
    <w:rsid w:val="36193C1A"/>
    <w:rsid w:val="409A576D"/>
    <w:rsid w:val="41B636AC"/>
    <w:rsid w:val="42F637F7"/>
    <w:rsid w:val="43054AC7"/>
    <w:rsid w:val="4376774B"/>
    <w:rsid w:val="43A63CED"/>
    <w:rsid w:val="494C6B32"/>
    <w:rsid w:val="4C617D74"/>
    <w:rsid w:val="50962F12"/>
    <w:rsid w:val="56E21C0C"/>
    <w:rsid w:val="5B7C721B"/>
    <w:rsid w:val="5CA21F50"/>
    <w:rsid w:val="6083374F"/>
    <w:rsid w:val="6DAF419E"/>
    <w:rsid w:val="79F2751F"/>
    <w:rsid w:val="7C3755ED"/>
    <w:rsid w:val="7CF902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4"/>
    <w:basedOn w:val="1"/>
    <w:next w:val="1"/>
    <w:qFormat/>
    <w:uiPriority w:val="9"/>
    <w:pPr>
      <w:keepNext/>
      <w:spacing w:before="240" w:after="60"/>
      <w:outlineLvl w:val="3"/>
    </w:pPr>
    <w:rPr>
      <w:b/>
      <w:bCs/>
      <w:sz w:val="28"/>
      <w:szCs w:val="28"/>
    </w:rPr>
  </w:style>
  <w:style w:type="character" w:default="1" w:styleId="7">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Title"/>
    <w:basedOn w:val="1"/>
    <w:next w:val="1"/>
    <w:qFormat/>
    <w:uiPriority w:val="10"/>
    <w:pPr>
      <w:spacing w:before="60" w:after="60"/>
      <w:jc w:val="left"/>
      <w:outlineLvl w:val="2"/>
    </w:pPr>
    <w:rPr>
      <w:rFonts w:asciiTheme="majorHAnsi" w:hAnsiTheme="majorHAnsi" w:eastAsiaTheme="majorEastAsia" w:cstheme="majorBidi"/>
      <w:b/>
      <w:bCs/>
      <w:sz w:val="28"/>
      <w:szCs w:val="32"/>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1334</Words>
  <Characters>1393</Characters>
  <Lines>0</Lines>
  <Paragraphs>0</Paragraphs>
  <TotalTime>1</TotalTime>
  <ScaleCrop>false</ScaleCrop>
  <LinksUpToDate>false</LinksUpToDate>
  <CharactersWithSpaces>1399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2024-02-23T09:47:00Z</dcterms:created>
  <dc:creator>张三喵®ʕ·͡ˑ·ཻʔ</dc:creator>
  <cp:lastModifiedBy>张龙海</cp:lastModifiedBy>
  <dcterms:modified xsi:type="dcterms:W3CDTF">2024-11-18T02:16:19Z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55FFDAD5D5964861B3C144D195158EAE_13</vt:lpwstr>
  </property>
</Properties>
</file>