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707" w:type="dxa"/>
        <w:tblInd w:w="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662"/>
        <w:gridCol w:w="849"/>
        <w:gridCol w:w="929"/>
        <w:gridCol w:w="55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科室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  <w:tc>
          <w:tcPr>
            <w:tcW w:w="5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2" w:hRule="atLeast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眼科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强脉冲激光　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1.适应症：适用于睑板腺功能障碍引起的干眼治疗；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2.该设备治疗能量范围：9-13 J/cm²，且光脉冲能量可以根据需要进行调节，配备风冷技术，无需更换水冷液；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3.脉冲个数：一次光闪可激发≤8个子脉冲；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4.每只眼仅需五次及以下闪光，即可完成治疗；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5.配置要求：护目眼罩、治疗头、耦合剂等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8" w:hRule="atLeast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心胸外科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双极射频消融系统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1.主要用于对房颤患者开展射频消融手术；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2.消融方式：干式消融——采用双极双回路射频能量交替输出模式，附件头端电极温度与组织内部温度一致；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3.控制方式：自动控制。射频能量输出频率460.8KHz±1,射频能量输出范围：2.7~28.5W±2；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4.安全防护方式：三重安全防护： 电压保护、电流保护、时间保护；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5.能量输出启停控制、组织阻抗变化实时显示、屏幕视角可调、阻抗有效检测范围：20欧姆~1200欧姆；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6.兼容标测功能：射频消融发生器除了可以配射频钳和射频笔进行消融，还可配合射频消融系统的其它设备实现标测功能；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7.配置要求：射频消融发生器、刺激发生器、隔离变压器、显示屏、处理器、台车、脚踏开关和电源电缆、双极射频消融钳等；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6" w:hRule="atLeast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眼科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眼科激光机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5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1.主要用于治疗糖尿病视网膜病变、视网膜中央静脉栓塞、中心性浆液性脉络膜、视网膜病变等眼底病手术，满足眼科眼底玻切相关手术需要；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2.频率：50—60Hz；冷却方式：空气；电压：100-120V，5A  ，220-240V，2.5A；治疗激光：二极管泵浦，倍频固体；激光操作波长：532nm；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3.输出功率：30mw-1500mw,具有手术点数及能量统计功能；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4.具备自动射频识别功能：可识别接入机器的激光光纤型号和类别并自动设置缺省参数，配备多功能脚踏;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5.可提供设备相同的原厂27g,25g,23g,20g等，直头，弹性弯头，带照明，带注吸的多功能全系列光纤，并且有原厂可伸缩带照明的激光光纤;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6.具备双激光接口：可在不同激光输出设备间切换；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7.激光过滤片：具备固定和可拆卸安全滤光片可选，高通透、低偏色滤光片，可以连接Zeiss*，Leica*，Topcon*，Wild*和Moller-Wedel*等多种显微镜；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4C4D69DE"/>
    <w:rsid w:val="04E663E6"/>
    <w:rsid w:val="256811AE"/>
    <w:rsid w:val="3E3C11A3"/>
    <w:rsid w:val="4C4D69DE"/>
    <w:rsid w:val="5A0C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5">
    <w:name w:val="font71"/>
    <w:basedOn w:val="3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6">
    <w:name w:val="font8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91"/>
    <w:basedOn w:val="3"/>
    <w:uiPriority w:val="0"/>
    <w:rPr>
      <w:rFonts w:ascii="Arial" w:hAnsi="Arial" w:cs="Arial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2023-08-14T00:51:00Z</dcterms:created>
  <dc:creator>医学装备科</dc:creator>
  <cp:lastModifiedBy>医学装备科</cp:lastModifiedBy>
  <dcterms:modified xsi:type="dcterms:W3CDTF">2023-08-18T09:27:28Z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D66B828ECCFF46908CF251905881217A_11</vt:lpwstr>
  </property>
</Properties>
</file>