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pPr w:leftFromText="180" w:rightFromText="180" w:vertAnchor="page" w:horzAnchor="page" w:tblpX="874" w:tblpY="1434"/>
        <w:tblOverlap w:val="never"/>
        <w:tblW w:w="10337" w:type="dxa"/>
        <w:tblInd w:w="0" w:type="dxa"/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30"/>
        <w:gridCol w:w="1230"/>
        <w:gridCol w:w="1230"/>
        <w:gridCol w:w="1230"/>
        <w:gridCol w:w="5417"/>
      </w:tblGrid>
      <w:tr>
        <w:trPr>
          <w:trHeight w:val="905" w:hRule="atLeast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项目序号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科室名称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设备名称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进口或国产</w:t>
            </w:r>
          </w:p>
        </w:tc>
        <w:tc>
          <w:tcPr>
            <w:tcW w:w="5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功能需求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等线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放射科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大孔径CT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国产</w:t>
            </w:r>
          </w:p>
        </w:tc>
        <w:tc>
          <w:tcPr>
            <w:tcW w:w="5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包含但不限于：                                                                                                                                                                                                            1.放疗定位用；                                                                                                                                                                                                         2.机架孔径：≥80cm，诊断级图像，放疗专用定位床，全碳纤定位床板，可进行呼吸门控扫描，支持所有主流放射治疗设备和计划系统。</w:t>
            </w:r>
          </w:p>
        </w:tc>
      </w:tr>
    </w:tbl>
    <w:p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6810E0"/>
    <w:rsid w:val="2F6810E0"/>
    <w:rsid w:val="3BBC6D34"/>
    <w:rsid w:val="3BCD6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2020-08-14T08:01:00Z</dcterms:created>
  <dc:creator>资产科肖婷</dc:creator>
  <cp:lastModifiedBy>资产科肖婷</cp:lastModifiedBy>
  <dcterms:modified xsi:type="dcterms:W3CDTF">2020-08-19T03:39:20Z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