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9057" w:type="dxa"/>
        <w:tblInd w:w="0" w:type="dxa"/>
        <w:shd w:val="clear" w:color="auto" w:fill="auto"/>
        <w:tblLayout w:type="autofit"/>
        <w:tblCellMar>
          <w:top w:w="0" w:type="dxa"/>
          <w:left w:w="0" w:type="dxa"/>
          <w:bottom w:w="0" w:type="dxa"/>
          <w:right w:w="0" w:type="dxa"/>
        </w:tblCellMar>
      </w:tblPr>
      <w:tblGrid>
        <w:gridCol w:w="733"/>
        <w:gridCol w:w="908"/>
        <w:gridCol w:w="1920"/>
        <w:gridCol w:w="908"/>
        <w:gridCol w:w="4588"/>
      </w:tblGrid>
      <w:tr>
        <w:tblPrEx>
          <w:shd w:val="clear" w:color="auto" w:fill="auto"/>
          <w:tblCellMar>
            <w:top w:w="0" w:type="dxa"/>
            <w:left w:w="0" w:type="dxa"/>
            <w:bottom w:w="0" w:type="dxa"/>
            <w:right w:w="0" w:type="dxa"/>
          </w:tblCellMar>
        </w:tblPrEx>
        <w:trPr>
          <w:trHeight w:val="623" w:hRule="atLeast"/>
        </w:trPr>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项目序号</w:t>
            </w:r>
          </w:p>
        </w:tc>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科室名称</w:t>
            </w:r>
          </w:p>
        </w:tc>
        <w:tc>
          <w:tcPr>
            <w:tcW w:w="19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设备名称</w:t>
            </w:r>
          </w:p>
        </w:tc>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进口或国产</w:t>
            </w:r>
          </w:p>
        </w:tc>
        <w:tc>
          <w:tcPr>
            <w:tcW w:w="4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功能需求</w:t>
            </w:r>
          </w:p>
        </w:tc>
      </w:tr>
      <w:tr>
        <w:tblPrEx>
          <w:shd w:val="clear" w:color="auto" w:fill="auto"/>
          <w:tblCellMar>
            <w:top w:w="0" w:type="dxa"/>
            <w:left w:w="0" w:type="dxa"/>
            <w:bottom w:w="0" w:type="dxa"/>
            <w:right w:w="0" w:type="dxa"/>
          </w:tblCellMar>
        </w:tblPrEx>
        <w:trPr>
          <w:trHeight w:val="449" w:hRule="atLeast"/>
        </w:trPr>
        <w:tc>
          <w:tcPr>
            <w:tcW w:w="905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黑体" w:hAnsi="宋体" w:eastAsia="黑体" w:cs="黑体"/>
                <w:i w:val="0"/>
                <w:color w:val="000000"/>
                <w:kern w:val="0"/>
                <w:sz w:val="22"/>
                <w:szCs w:val="22"/>
                <w:u w:val="none"/>
                <w:lang w:val="en-US" w:eastAsia="zh-CN" w:bidi="ar"/>
              </w:rPr>
            </w:pPr>
            <w:r>
              <w:rPr>
                <w:rFonts w:hint="eastAsia" w:ascii="黑体" w:hAnsi="宋体" w:eastAsia="黑体" w:cs="黑体"/>
                <w:i w:val="0"/>
                <w:color w:val="000000"/>
                <w:kern w:val="0"/>
                <w:sz w:val="22"/>
                <w:szCs w:val="22"/>
                <w:u w:val="none"/>
                <w:lang w:val="en-US" w:eastAsia="zh-CN" w:bidi="ar"/>
              </w:rPr>
              <w:t>备注：以下设备仅用于科研</w:t>
            </w:r>
          </w:p>
        </w:tc>
      </w:tr>
      <w:tr>
        <w:tblPrEx>
          <w:shd w:val="clear" w:color="auto" w:fill="auto"/>
          <w:tblCellMar>
            <w:top w:w="0" w:type="dxa"/>
            <w:left w:w="0" w:type="dxa"/>
            <w:bottom w:w="0" w:type="dxa"/>
            <w:right w:w="0" w:type="dxa"/>
          </w:tblCellMar>
        </w:tblPrEx>
        <w:trPr>
          <w:trHeight w:val="5702" w:hRule="atLeast"/>
        </w:trPr>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bookmarkStart w:id="0" w:name="_GoBack"/>
            <w:bookmarkEnd w:id="0"/>
            <w:r>
              <w:rPr>
                <w:rFonts w:hint="eastAsia" w:ascii="宋体" w:hAnsi="宋体" w:eastAsia="宋体" w:cs="宋体"/>
                <w:i w:val="0"/>
                <w:color w:val="000000"/>
                <w:kern w:val="0"/>
                <w:sz w:val="21"/>
                <w:szCs w:val="21"/>
                <w:u w:val="none"/>
                <w:lang w:val="en-US" w:eastAsia="zh-CN" w:bidi="ar"/>
              </w:rPr>
              <w:t>6</w:t>
            </w:r>
          </w:p>
        </w:tc>
        <w:tc>
          <w:tcPr>
            <w:tcW w:w="908"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转化中心</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ind w:firstLineChars="10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中央供水主机</w:t>
            </w:r>
          </w:p>
        </w:tc>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国产</w:t>
            </w:r>
          </w:p>
        </w:tc>
        <w:tc>
          <w:tcPr>
            <w:tcW w:w="4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1、不锈钢RO水箱≥150升、不锈钢EDI纯水箱≥280升；</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2、源水水源：自来水；</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3、具备源水水质分析功能；</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4、占地面积约：≤长×宽×高：180×80×180±5cm；</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5、产水量：≥500L/h；</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6、EDI去离子水：</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电阻率：≥15MΩ.cm；</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电导率：≤0.067us/cm；</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重金属离子：≤0.01ppb；</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细菌：N/A；</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颗粒物（＞0.2um）：N/A；</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7、具备全自动软水器；</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8、反渗透膜：最大产水量：≥9.5m3/d；有效面积：≥8.7m2；运行产水量：≥250L/h；最高给水：SDI15：自由氯浓度：≤0.1ppm；</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9、中央水箱：容积：≥150L；进水口：25±2mm；出水口：25±2mm；</w:t>
            </w:r>
          </w:p>
        </w:tc>
      </w:tr>
      <w:tr>
        <w:tblPrEx>
          <w:shd w:val="clear" w:color="auto" w:fill="auto"/>
          <w:tblCellMar>
            <w:top w:w="0" w:type="dxa"/>
            <w:left w:w="0" w:type="dxa"/>
            <w:bottom w:w="0" w:type="dxa"/>
            <w:right w:w="0" w:type="dxa"/>
          </w:tblCellMar>
        </w:tblPrEx>
        <w:trPr>
          <w:trHeight w:val="5386" w:hRule="atLeast"/>
        </w:trPr>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7</w:t>
            </w:r>
          </w:p>
        </w:tc>
        <w:tc>
          <w:tcPr>
            <w:tcW w:w="908"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转化中心</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ind w:firstLineChars="10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超纯水终端机</w:t>
            </w:r>
          </w:p>
        </w:tc>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国产</w:t>
            </w:r>
          </w:p>
        </w:tc>
        <w:tc>
          <w:tcPr>
            <w:tcW w:w="4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1、原水要求：蒸馏水、去离子水或反渗透水，水温5-45℃，水压1atm</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2、产水量：≥2.0L/Min</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3、UP超纯水指标：</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电阻率(25℃)：18.2MΩ.cm；</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总有机碳TOC*：&lt;10ppb；</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细菌：&lt;0.1cfu/ml；</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颗粒物(&gt;0.1μm)：&lt;1/ml；</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邻苯二甲酸二乙酯（EDP）（µg/L）：未检出；</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双酚A（µg/L）：未检出；</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4、DI高纯水指标：电阻率(25℃) ≥15MΩ.cm</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5、出水口：2个：UP超纯水1个、DI高纯水1个</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6、具备在线3路水质监控，实时监测源水、DI去离子水、UP超纯水水质</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7、超纯水循环系统可自由启动、关闭</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8、具备USB接口，可导出水质资料</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9、可时刻保证纯水品质（需提供相关资料予以证明）</w:t>
            </w:r>
          </w:p>
        </w:tc>
      </w:tr>
      <w:tr>
        <w:tblPrEx>
          <w:shd w:val="clear" w:color="auto" w:fill="auto"/>
          <w:tblCellMar>
            <w:top w:w="0" w:type="dxa"/>
            <w:left w:w="0" w:type="dxa"/>
            <w:bottom w:w="0" w:type="dxa"/>
            <w:right w:w="0" w:type="dxa"/>
          </w:tblCellMar>
        </w:tblPrEx>
        <w:trPr>
          <w:trHeight w:val="3179" w:hRule="atLeast"/>
        </w:trPr>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8</w:t>
            </w:r>
          </w:p>
        </w:tc>
        <w:tc>
          <w:tcPr>
            <w:tcW w:w="908"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转化中心</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ind w:firstLineChars="10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冷冻干燥器</w:t>
            </w:r>
          </w:p>
        </w:tc>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国产</w:t>
            </w:r>
          </w:p>
        </w:tc>
        <w:tc>
          <w:tcPr>
            <w:tcW w:w="4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1、腔体容积≥13L，最大捕水量≥3KG</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2、除冰速率≥3KG/24Hr</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3、冷阱温度≤-65℃（空载）</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4、极限真空度1Pa</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5、冷阱降温速率：20℃降温至-40℃≤30min（空载）</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6、真空抽气速率：标准大气压降至5pa≤15min(空载)</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7、搁架层间距≥50mm</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8、可用隔板层≥4</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9、有效隔板面积≥0.1㎡</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10、搁板加热控温范围：-40℃-+50℃</w:t>
            </w:r>
          </w:p>
        </w:tc>
      </w:tr>
      <w:tr>
        <w:tblPrEx>
          <w:shd w:val="clear" w:color="auto" w:fill="auto"/>
          <w:tblCellMar>
            <w:top w:w="0" w:type="dxa"/>
            <w:left w:w="0" w:type="dxa"/>
            <w:bottom w:w="0" w:type="dxa"/>
            <w:right w:w="0" w:type="dxa"/>
          </w:tblCellMar>
        </w:tblPrEx>
        <w:trPr>
          <w:trHeight w:val="2613" w:hRule="atLeast"/>
        </w:trPr>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9</w:t>
            </w:r>
          </w:p>
        </w:tc>
        <w:tc>
          <w:tcPr>
            <w:tcW w:w="908"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转化中心</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ind w:firstLineChars="10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多功能电转仪</w:t>
            </w:r>
          </w:p>
        </w:tc>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进口</w:t>
            </w:r>
          </w:p>
        </w:tc>
        <w:tc>
          <w:tcPr>
            <w:tcW w:w="4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1.具有示波器功能，显示实际通过样品的电流波形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2.单次高效电转≥200uL</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 xml:space="preserve">3.细胞系电转质粒电转效率≥80%，mRNA或者 Cas9蛋白做基因编辑电转效率≥95%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 xml:space="preserve">4.原代细胞质粒电转化率为50-80%，mRNA或者Cas9蛋白做 编 辑电转效率≥90%；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 xml:space="preserve">5.电转体积范围：最小体积为≤20微升，最大体积为≥200微升； </w:t>
            </w:r>
          </w:p>
        </w:tc>
      </w:tr>
      <w:tr>
        <w:tblPrEx>
          <w:shd w:val="clear" w:color="auto" w:fill="auto"/>
          <w:tblCellMar>
            <w:top w:w="0" w:type="dxa"/>
            <w:left w:w="0" w:type="dxa"/>
            <w:bottom w:w="0" w:type="dxa"/>
            <w:right w:w="0" w:type="dxa"/>
          </w:tblCellMar>
        </w:tblPrEx>
        <w:trPr>
          <w:trHeight w:val="2863" w:hRule="atLeast"/>
        </w:trPr>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10</w:t>
            </w:r>
          </w:p>
        </w:tc>
        <w:tc>
          <w:tcPr>
            <w:tcW w:w="908"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转化中心</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ind w:firstLineChars="10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低氧细胞培养箱</w:t>
            </w:r>
          </w:p>
        </w:tc>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进口</w:t>
            </w:r>
          </w:p>
        </w:tc>
        <w:tc>
          <w:tcPr>
            <w:tcW w:w="4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1、容积≥170升；</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2、灭菌功能：具有90℃高温湿热循环灭菌，并带排气泵在灭菌后程具有干燥和冷却功能；</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3、温度控制范围（℃）：环境温度+3-60℃，温度控制精度（℃）：&lt;±0.1℃；</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4、在37℃时温度均一性&lt;±0.3℃；</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5、开门1分钟后，37℃温度恢复时间（min）：≤6min，5%浓度时CO2恢复时间：≤4min；</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6、CO2控制范围：0-20％，CO2控制精度：≤±0.1%；</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7、氧气控制范围：1-20.7%；O2控制精度：≤±0.1%；</w:t>
            </w:r>
          </w:p>
        </w:tc>
      </w:tr>
      <w:tr>
        <w:tblPrEx>
          <w:shd w:val="clear" w:color="auto" w:fill="auto"/>
          <w:tblCellMar>
            <w:top w:w="0" w:type="dxa"/>
            <w:left w:w="0" w:type="dxa"/>
            <w:bottom w:w="0" w:type="dxa"/>
            <w:right w:w="0" w:type="dxa"/>
          </w:tblCellMar>
        </w:tblPrEx>
        <w:trPr>
          <w:trHeight w:val="9802" w:hRule="atLeast"/>
        </w:trPr>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11</w:t>
            </w:r>
          </w:p>
        </w:tc>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转化中心</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ind w:firstLineChars="10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小鼠饲养系统</w:t>
            </w:r>
          </w:p>
        </w:tc>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国产</w:t>
            </w:r>
          </w:p>
        </w:tc>
        <w:tc>
          <w:tcPr>
            <w:tcW w:w="4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1、笼架要求：</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（1）系统框架材质为304不锈钢，并配备PPO材质的笼盒旋转架，底部安装带刹车不锈钢静音万向脚轮，顶部安装通风软管。</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（2）系统框架通过脚轮系统可从实验室门进出自如，方便整体消毒（提供面积数据的相关证明材料）。</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3）笼盒和笼盒旋转架的摆放方式需确保每个笼盒对接系统时操作的方便性，任意角度均方便插入。笼盒旋转架圆底盘上凸起部的侧壁通气孔与配套饲养笼盒内端通气口的配合间隙应足够小，确保系统负压排气的有效气密性。</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（4）机箱中风机需确保在笼盒过滤器堵塞的不同程度下系统排风量的恒定。</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2、笼盒要求：</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1）笼盒材质需确保笼盒可满足目前实验上的所有消毒方式，包括：①耐高压蒸汽灭菌；②耐化学试剂消毒；③耐过氧化氢等离子体灭菌。同时确保笼盒正常实验的使用寿命≥5年。（提供各项细节要求的证明材料）</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（2）笼盒内置：1个≥400ml水瓶和1个≥510g不锈钢食盒，同时内置一个备用水笼卡座供特殊实验选择，盒内无多余网盖障碍。（提供各项细节要求的证明材料）</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（3）笼盒密封性强，杜绝交叉污染及过敏源向室内泄漏。（提供第三方烟雾密闭性检测报告）。</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（4）整体材质可同时高温高压消毒。</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（5）笼盒可叠加，并确保笼盒叠放的安全不易滑落。</w:t>
            </w:r>
          </w:p>
        </w:tc>
      </w:tr>
      <w:tr>
        <w:tblPrEx>
          <w:shd w:val="clear" w:color="auto" w:fill="auto"/>
          <w:tblCellMar>
            <w:top w:w="0" w:type="dxa"/>
            <w:left w:w="0" w:type="dxa"/>
            <w:bottom w:w="0" w:type="dxa"/>
            <w:right w:w="0" w:type="dxa"/>
          </w:tblCellMar>
        </w:tblPrEx>
        <w:trPr>
          <w:trHeight w:val="6974" w:hRule="atLeast"/>
        </w:trPr>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12</w:t>
            </w:r>
          </w:p>
        </w:tc>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转化中心</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ind w:firstLineChars="10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大鼠饲养系统</w:t>
            </w:r>
          </w:p>
        </w:tc>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国产</w:t>
            </w:r>
          </w:p>
        </w:tc>
        <w:tc>
          <w:tcPr>
            <w:tcW w:w="4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1、笼架要求：</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（1）系统框架材质为优质304不锈钢，并配备PPO材质的笼盒旋转架，底部安装带刹车不锈钢静音万向脚轮，顶部安装直径≥100mm的通风软管。</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（2）系统框架占地面积≤1×0.94(m)，通过脚轮系统可从实验室门进出自如，方便整体消毒。</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（3）机箱中风机需确保在笼盒过滤器堵塞的不同程度下系统排风量的恒定。</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2、笼盒要求：</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（1）笼盒材质确保笼盒可满足目前实验上的所有消毒方式，包括：①耐高压蒸汽灭菌；②耐化学试剂消毒；③耐过氧化氢等离子体灭菌；正常实验使用寿命≥5年。</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（2）笼盒配置2个内置式水瓶和1个食盒，无污染，无泄漏，笼盒内无多余网盖障碍；</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（3）笼盒密封性强，盒盖上左右两侧配密封扣和盒盖内侧硅胶密封条，杜绝交叉污染及过敏源向室内泄漏。</w:t>
            </w:r>
            <w:r>
              <w:rPr>
                <w:rFonts w:hint="eastAsia" w:ascii="宋体" w:hAnsi="宋体" w:eastAsia="宋体" w:cs="宋体"/>
                <w:i w:val="0"/>
                <w:color w:val="000000"/>
                <w:kern w:val="0"/>
                <w:sz w:val="22"/>
                <w:szCs w:val="22"/>
                <w:u w:val="none"/>
                <w:lang w:val="en-US" w:eastAsia="zh-CN" w:bidi="ar"/>
              </w:rPr>
              <w:br w:type="textWrapping"/>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09339B"/>
    <w:rsid w:val="0E7A37E8"/>
    <w:rsid w:val="19B55FEC"/>
    <w:rsid w:val="2C5D6FFB"/>
    <w:rsid w:val="36F37EFD"/>
    <w:rsid w:val="3D9653FF"/>
    <w:rsid w:val="5443581F"/>
    <w:rsid w:val="6609339B"/>
    <w:rsid w:val="799A31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2021-02-05T01:01:00Z</dcterms:created>
  <dc:creator>医学装备科-肖婷</dc:creator>
  <cp:lastModifiedBy>医学装备科-肖婷</cp:lastModifiedBy>
  <dcterms:modified xsi:type="dcterms:W3CDTF">2021-02-18T00:18:18Z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