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61DB3"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附件一</w:t>
      </w:r>
    </w:p>
    <w:p w14:paraId="6261C230">
      <w:pPr>
        <w:spacing w:before="240" w:after="240" w:line="640" w:lineRule="exact"/>
        <w:jc w:val="center"/>
      </w:pPr>
      <w:r>
        <w:rPr>
          <w:rFonts w:hint="eastAsia" w:ascii="方正小标宋简体" w:hAnsi="方正小标宋简体" w:eastAsia="方正小标宋简体" w:cs="Times New Roman"/>
          <w:b/>
          <w:sz w:val="44"/>
          <w:szCs w:val="44"/>
        </w:rPr>
        <w:t>基础设施</w:t>
      </w:r>
      <w:r>
        <w:rPr>
          <w:rFonts w:hint="eastAsia" w:ascii="方正小标宋简体" w:hAnsi="方正小标宋简体" w:eastAsia="方正小标宋简体" w:cs="Times New Roman"/>
          <w:b/>
          <w:sz w:val="44"/>
          <w:szCs w:val="44"/>
          <w:lang w:val="en-US" w:eastAsia="zh-CN"/>
        </w:rPr>
        <w:t>存算服务</w:t>
      </w:r>
      <w:r>
        <w:rPr>
          <w:rFonts w:hint="eastAsia" w:ascii="方正小标宋简体" w:hAnsi="方正小标宋简体" w:eastAsia="方正小标宋简体" w:cs="Times New Roman"/>
          <w:b/>
          <w:sz w:val="44"/>
          <w:szCs w:val="44"/>
        </w:rPr>
        <w:t>项目需求调研文档</w:t>
      </w:r>
    </w:p>
    <w:p w14:paraId="6702DA8F">
      <w:pPr>
        <w:spacing w:before="120" w:after="60" w:line="560" w:lineRule="exact"/>
        <w:jc w:val="left"/>
        <w:outlineLvl w:val="0"/>
      </w:pPr>
      <w:r>
        <w:rPr>
          <w:rFonts w:hint="eastAsia" w:ascii="黑体" w:hAnsi="黑体" w:eastAsia="黑体" w:cs="Times New Roman"/>
          <w:b w:val="0"/>
          <w:sz w:val="32"/>
          <w:szCs w:val="32"/>
        </w:rPr>
        <w:t>一、项目概述</w:t>
      </w:r>
    </w:p>
    <w:p w14:paraId="74B77097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 w:val="0"/>
          <w:sz w:val="32"/>
          <w:szCs w:val="32"/>
        </w:rPr>
        <w:t>本项目采购标的为基础设施存算服务</w:t>
      </w:r>
      <w:r>
        <w:rPr>
          <w:rFonts w:hint="eastAsia" w:ascii="仿宋" w:hAnsi="仿宋" w:eastAsia="仿宋" w:cs="Times New Roman"/>
          <w:b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b w:val="0"/>
          <w:sz w:val="32"/>
          <w:szCs w:val="32"/>
        </w:rPr>
        <w:t>服务商向本院提供专属、独占的物理算力</w:t>
      </w:r>
      <w:r>
        <w:rPr>
          <w:rFonts w:hint="eastAsia" w:ascii="仿宋" w:hAnsi="仿宋" w:eastAsia="仿宋" w:cs="Times New Roman"/>
          <w:b w:val="0"/>
          <w:sz w:val="32"/>
          <w:szCs w:val="32"/>
          <w:lang w:val="en-US" w:eastAsia="zh-CN"/>
        </w:rPr>
        <w:t>和存储</w:t>
      </w:r>
      <w:r>
        <w:rPr>
          <w:rFonts w:hint="eastAsia" w:ascii="仿宋" w:hAnsi="仿宋" w:eastAsia="仿宋" w:cs="Times New Roman"/>
          <w:b w:val="0"/>
          <w:sz w:val="32"/>
          <w:szCs w:val="32"/>
        </w:rPr>
        <w:t>资源环境，部署于本院机房</w:t>
      </w:r>
      <w:r>
        <w:rPr>
          <w:rFonts w:hint="eastAsia" w:ascii="仿宋" w:hAnsi="仿宋" w:eastAsia="仿宋" w:cs="Times New Roman"/>
          <w:b w:val="0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Times New Roman"/>
          <w:b w:val="0"/>
          <w:sz w:val="32"/>
          <w:szCs w:val="32"/>
        </w:rPr>
        <w:t>服务商负责硬件选型供给、</w:t>
      </w:r>
      <w:bookmarkStart w:id="0" w:name="_GoBack"/>
      <w:bookmarkEnd w:id="0"/>
      <w:r>
        <w:rPr>
          <w:rFonts w:hint="eastAsia" w:ascii="仿宋" w:hAnsi="仿宋" w:eastAsia="仿宋" w:cs="Times New Roman"/>
          <w:b w:val="0"/>
          <w:sz w:val="32"/>
          <w:szCs w:val="32"/>
        </w:rPr>
        <w:t>安装部署、与大数据平台软件的适配联调、服务期内的运维保障与故障兜底</w:t>
      </w:r>
      <w:r>
        <w:rPr>
          <w:rFonts w:hint="eastAsia" w:ascii="仿宋" w:hAnsi="仿宋" w:eastAsia="仿宋" w:cs="Times New Roman"/>
          <w:b w:val="0"/>
          <w:sz w:val="32"/>
          <w:szCs w:val="32"/>
          <w:lang w:eastAsia="zh-CN"/>
        </w:rPr>
        <w:t>。</w:t>
      </w:r>
    </w:p>
    <w:p w14:paraId="54800A3C">
      <w:pPr>
        <w:spacing w:before="0" w:after="0" w:line="560" w:lineRule="exact"/>
        <w:ind w:firstLine="640"/>
        <w:jc w:val="both"/>
      </w:pPr>
      <w:r>
        <w:rPr>
          <w:rFonts w:hint="eastAsia" w:ascii="仿宋" w:hAnsi="仿宋" w:eastAsia="仿宋" w:cs="Times New Roman"/>
          <w:b w:val="0"/>
          <w:sz w:val="32"/>
          <w:szCs w:val="32"/>
        </w:rPr>
        <w:t>为做好医院大数据平台基础设施建设保障工作，满足</w:t>
      </w:r>
      <w:r>
        <w:rPr>
          <w:rFonts w:hint="eastAsia" w:ascii="仿宋" w:hAnsi="仿宋" w:eastAsia="仿宋" w:cs="Times New Roman"/>
          <w:b w:val="0"/>
          <w:sz w:val="32"/>
          <w:szCs w:val="32"/>
          <w:lang w:val="en-US" w:eastAsia="zh-CN"/>
        </w:rPr>
        <w:t>医疗大数据</w:t>
      </w:r>
      <w:r>
        <w:rPr>
          <w:rFonts w:hint="eastAsia" w:ascii="仿宋" w:hAnsi="仿宋" w:eastAsia="仿宋" w:cs="Times New Roman"/>
          <w:b w:val="0"/>
          <w:sz w:val="32"/>
          <w:szCs w:val="32"/>
        </w:rPr>
        <w:t>平台的部署运行需求，现对存算节点服务（8节点）及网络互联服务开展需求调研。本次调研仅明确各项服务需求及技术指标要求，作为后续采购与实施工作的技术依据。</w:t>
      </w:r>
    </w:p>
    <w:p w14:paraId="0B19E9AC">
      <w:pPr>
        <w:spacing w:before="120" w:after="60" w:line="560" w:lineRule="exact"/>
        <w:jc w:val="left"/>
        <w:outlineLvl w:val="0"/>
      </w:pPr>
      <w:r>
        <w:rPr>
          <w:rFonts w:hint="eastAsia" w:ascii="黑体" w:hAnsi="黑体" w:eastAsia="黑体" w:cs="Times New Roman"/>
          <w:b w:val="0"/>
          <w:sz w:val="32"/>
          <w:szCs w:val="32"/>
        </w:rPr>
        <w:t>二、大数据算力节点服务需求</w:t>
      </w:r>
    </w:p>
    <w:p w14:paraId="1FE96B9D">
      <w:pPr>
        <w:spacing w:before="60" w:after="60" w:line="560" w:lineRule="exact"/>
        <w:jc w:val="left"/>
        <w:outlineLvl w:val="1"/>
      </w:pPr>
      <w:r>
        <w:rPr>
          <w:rFonts w:hint="eastAsia" w:ascii="楷体" w:hAnsi="楷体" w:eastAsia="楷体" w:cs="Times New Roman"/>
          <w:b w:val="0"/>
          <w:sz w:val="32"/>
          <w:szCs w:val="32"/>
        </w:rPr>
        <w:t>（一）总体要求</w:t>
      </w:r>
    </w:p>
    <w:p w14:paraId="71B4C3F2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sz w:val="32"/>
          <w:szCs w:val="32"/>
        </w:rPr>
        <w:t>本次大数据算力节点服务共需8个物理节点，用于</w:t>
      </w:r>
      <w:r>
        <w:rPr>
          <w:rFonts w:hint="eastAsia" w:ascii="仿宋" w:hAnsi="仿宋" w:eastAsia="仿宋" w:cs="Times New Roman"/>
          <w:b w:val="0"/>
          <w:sz w:val="32"/>
          <w:szCs w:val="32"/>
          <w:lang w:val="en-US" w:eastAsia="zh-CN"/>
        </w:rPr>
        <w:t>医疗大数据</w:t>
      </w:r>
      <w:r>
        <w:rPr>
          <w:rFonts w:hint="eastAsia" w:ascii="仿宋" w:hAnsi="仿宋" w:eastAsia="仿宋" w:cs="Times New Roman"/>
          <w:b w:val="0"/>
          <w:sz w:val="32"/>
          <w:szCs w:val="32"/>
        </w:rPr>
        <w:t>平台。单节点各项服务指标不得低于表1所列最低要求。</w:t>
      </w:r>
    </w:p>
    <w:p w14:paraId="3F7405C0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 w:val="0"/>
          <w:sz w:val="32"/>
          <w:szCs w:val="32"/>
        </w:rPr>
        <w:t>在本院机房</w:t>
      </w:r>
      <w:r>
        <w:rPr>
          <w:rFonts w:hint="eastAsia" w:ascii="仿宋" w:hAnsi="仿宋" w:eastAsia="仿宋" w:cs="Times New Roman"/>
          <w:b w:val="0"/>
          <w:sz w:val="32"/>
          <w:szCs w:val="32"/>
          <w:lang w:val="en-US" w:eastAsia="zh-CN"/>
        </w:rPr>
        <w:t>物理机上</w:t>
      </w:r>
      <w:r>
        <w:rPr>
          <w:rFonts w:hint="eastAsia" w:ascii="仿宋" w:hAnsi="仿宋" w:eastAsia="仿宋" w:cs="Times New Roman"/>
          <w:b w:val="0"/>
          <w:sz w:val="32"/>
          <w:szCs w:val="32"/>
        </w:rPr>
        <w:t>搭建独立私有</w:t>
      </w:r>
      <w:r>
        <w:rPr>
          <w:rFonts w:hint="eastAsia" w:ascii="仿宋" w:hAnsi="仿宋" w:eastAsia="仿宋" w:cs="Times New Roman"/>
          <w:b w:val="0"/>
          <w:sz w:val="32"/>
          <w:szCs w:val="32"/>
          <w:lang w:val="en-US" w:eastAsia="zh-CN"/>
        </w:rPr>
        <w:t>管理</w:t>
      </w:r>
      <w:r>
        <w:rPr>
          <w:rFonts w:hint="eastAsia" w:ascii="仿宋" w:hAnsi="仿宋" w:eastAsia="仿宋" w:cs="Times New Roman"/>
          <w:b w:val="0"/>
          <w:sz w:val="32"/>
          <w:szCs w:val="32"/>
        </w:rPr>
        <w:t>平台，统一调度计算、存储、网络资源。</w:t>
      </w:r>
      <w:r>
        <w:rPr>
          <w:rFonts w:hint="eastAsia" w:ascii="仿宋" w:hAnsi="仿宋" w:eastAsia="仿宋" w:cs="Times New Roman"/>
          <w:b w:val="0"/>
          <w:sz w:val="32"/>
          <w:szCs w:val="32"/>
          <w:lang w:val="en-US" w:eastAsia="zh-CN"/>
        </w:rPr>
        <w:t>实现服务器</w:t>
      </w:r>
      <w:r>
        <w:rPr>
          <w:rFonts w:hint="eastAsia" w:ascii="仿宋" w:hAnsi="仿宋" w:eastAsia="仿宋" w:cs="Times New Roman"/>
          <w:b w:val="0"/>
          <w:sz w:val="32"/>
          <w:szCs w:val="32"/>
        </w:rPr>
        <w:t>资产管理、监控告警、作业、自动化巡检</w:t>
      </w:r>
      <w:r>
        <w:rPr>
          <w:rFonts w:hint="eastAsia" w:ascii="仿宋" w:hAnsi="仿宋" w:eastAsia="仿宋" w:cs="Times New Roman"/>
          <w:b w:val="0"/>
          <w:sz w:val="32"/>
          <w:szCs w:val="32"/>
          <w:lang w:eastAsia="zh-CN"/>
        </w:rPr>
        <w:t>。</w:t>
      </w:r>
    </w:p>
    <w:p w14:paraId="24FBFE19">
      <w:pPr>
        <w:spacing w:before="60" w:after="60" w:line="560" w:lineRule="exact"/>
        <w:jc w:val="left"/>
        <w:outlineLvl w:val="1"/>
      </w:pPr>
      <w:r>
        <w:rPr>
          <w:rFonts w:hint="eastAsia" w:ascii="楷体" w:hAnsi="楷体" w:eastAsia="楷体" w:cs="Times New Roman"/>
          <w:b w:val="0"/>
          <w:sz w:val="32"/>
          <w:szCs w:val="32"/>
        </w:rPr>
        <w:t>（二）服务指标要求</w:t>
      </w:r>
    </w:p>
    <w:p w14:paraId="4D222D80">
      <w:pPr>
        <w:spacing w:before="60" w:after="60" w:line="480" w:lineRule="exact"/>
        <w:jc w:val="center"/>
      </w:pPr>
      <w:r>
        <w:rPr>
          <w:rFonts w:hint="eastAsia" w:ascii="黑体" w:hAnsi="黑体" w:eastAsia="黑体" w:cs="Times New Roman"/>
          <w:b/>
          <w:sz w:val="24"/>
          <w:szCs w:val="24"/>
        </w:rPr>
        <w:t>表1大数据算力节点服务指标要求</w:t>
      </w:r>
    </w:p>
    <w:tbl>
      <w:tblPr>
        <w:tblStyle w:val="2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82"/>
        <w:gridCol w:w="6462"/>
      </w:tblGrid>
      <w:tr w14:paraId="3BA9F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A2D634">
            <w:pPr>
              <w:spacing w:before="40" w:after="40" w:line="440" w:lineRule="exact"/>
              <w:jc w:val="center"/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服务指标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0B89AF">
            <w:pPr>
              <w:spacing w:before="40" w:after="40" w:line="440" w:lineRule="exact"/>
              <w:jc w:val="center"/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要求</w:t>
            </w:r>
          </w:p>
        </w:tc>
      </w:tr>
      <w:tr w14:paraId="529A2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59A29C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节点数量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916A68">
            <w:pPr>
              <w:spacing w:before="40" w:after="40" w:line="440" w:lineRule="exact"/>
              <w:jc w:val="left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≥</w:t>
            </w: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个物理节点</w:t>
            </w:r>
          </w:p>
        </w:tc>
      </w:tr>
      <w:tr w14:paraId="7EAFC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8C35B9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单节点算力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CCB9F5">
            <w:pPr>
              <w:spacing w:before="40" w:after="40" w:line="440" w:lineRule="exact"/>
              <w:jc w:val="left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物理CPU≥2颗，总物理核≥44核，主频≥2.4GHz（或等效算力），支持超线程</w:t>
            </w:r>
          </w:p>
        </w:tc>
      </w:tr>
      <w:tr w14:paraId="5E660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A1E12A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单节点内存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F8BA7E">
            <w:pPr>
              <w:spacing w:before="40" w:after="40" w:line="440" w:lineRule="exact"/>
              <w:jc w:val="left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≥512GB ECC，具备扩展槽位余量</w:t>
            </w:r>
          </w:p>
        </w:tc>
      </w:tr>
      <w:tr w14:paraId="79668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70D04C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系统盘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0669D9">
            <w:pPr>
              <w:spacing w:before="40" w:after="40" w:line="440" w:lineRule="exact"/>
              <w:jc w:val="left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2块≥480GB企业级SSD，硬件镜像保护（RAID1）</w:t>
            </w:r>
          </w:p>
        </w:tc>
      </w:tr>
      <w:tr w14:paraId="146D1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7B5FA0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数据盘交付模式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BF57CE">
            <w:pPr>
              <w:spacing w:before="40" w:after="40" w:line="440" w:lineRule="exact"/>
              <w:jc w:val="left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数据盘：24块通用硬盘-1200GB-SAS12Gb/s-10Krpm-128MB及以上-2.5英寸（3.5英寸托架）；数据盘要单盘做RAID0。其中用于TDH的4台服务器磁盘组合要求：OS盘RAID1，3组×RAID5（5块一组）+9组RAID0（单盘一组）；用于Argo的4台服务器磁盘组合要求：OS盘RAID1，8组×RAID5（3块一组）。具体盘位分配由服务商与平台软件厂商联合确认</w:t>
            </w:r>
          </w:p>
        </w:tc>
      </w:tr>
      <w:tr w14:paraId="2AF5A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94D631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单节点数据盘配置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DFE1AC">
            <w:pPr>
              <w:spacing w:before="40" w:after="40" w:line="440" w:lineRule="exact"/>
              <w:jc w:val="left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企业级SAS（≥10K RPM）或等效介质，单盘≥1.2TB，盘位数≥24</w:t>
            </w:r>
          </w:p>
        </w:tc>
      </w:tr>
      <w:tr w14:paraId="5FFC1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488721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单节点数据裸容量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848BE4">
            <w:pPr>
              <w:spacing w:before="40" w:after="40" w:line="440" w:lineRule="exact"/>
              <w:jc w:val="left"/>
            </w:pPr>
            <w:r>
              <w:rPr>
                <w:rFonts w:ascii="仿宋" w:hAnsi="仿宋" w:eastAsia="仿宋" w:cs="Times New Roman"/>
                <w:b w:val="0"/>
                <w:bCs w:val="0"/>
                <w:sz w:val="24"/>
                <w:szCs w:val="24"/>
              </w:rPr>
              <w:t>≥28TB</w:t>
            </w:r>
          </w:p>
        </w:tc>
      </w:tr>
      <w:tr w14:paraId="21B2C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8E6751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网络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C69CE8">
            <w:pPr>
              <w:spacing w:before="40" w:after="40" w:line="440" w:lineRule="exact"/>
              <w:jc w:val="left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双口万兆（含光模块），链路聚合冗余</w:t>
            </w:r>
          </w:p>
        </w:tc>
      </w:tr>
    </w:tbl>
    <w:p w14:paraId="22AC4490">
      <w:pPr>
        <w:spacing w:before="120" w:after="60" w:line="560" w:lineRule="exact"/>
        <w:jc w:val="left"/>
        <w:outlineLvl w:val="0"/>
      </w:pPr>
      <w:r>
        <w:rPr>
          <w:rFonts w:hint="eastAsia" w:ascii="黑体" w:hAnsi="黑体" w:eastAsia="黑体" w:cs="Times New Roman"/>
          <w:b w:val="0"/>
          <w:sz w:val="32"/>
          <w:szCs w:val="32"/>
        </w:rPr>
        <w:t>三、网络互联服务需求</w:t>
      </w:r>
    </w:p>
    <w:p w14:paraId="15D1410C">
      <w:pPr>
        <w:spacing w:before="0" w:after="0" w:line="560" w:lineRule="exact"/>
        <w:ind w:firstLine="640"/>
        <w:jc w:val="both"/>
        <w:rPr>
          <w:rFonts w:hint="eastAsia" w:ascii="仿宋" w:hAnsi="仿宋" w:eastAsia="仿宋" w:cs="Times New Roman"/>
          <w:b w:val="0"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sz w:val="32"/>
          <w:szCs w:val="32"/>
        </w:rPr>
        <w:t>为保障全部</w:t>
      </w:r>
      <w:r>
        <w:rPr>
          <w:rFonts w:hint="eastAsia" w:ascii="仿宋" w:hAnsi="仿宋" w:eastAsia="仿宋" w:cs="Times New Roman"/>
          <w:b w:val="0"/>
          <w:sz w:val="32"/>
          <w:szCs w:val="32"/>
          <w:lang w:val="en-US" w:eastAsia="zh-CN"/>
        </w:rPr>
        <w:t>资源</w:t>
      </w:r>
      <w:r>
        <w:rPr>
          <w:rFonts w:hint="eastAsia" w:ascii="仿宋" w:hAnsi="仿宋" w:eastAsia="仿宋" w:cs="Times New Roman"/>
          <w:b w:val="0"/>
          <w:sz w:val="32"/>
          <w:szCs w:val="32"/>
        </w:rPr>
        <w:t>节点之间高速、稳定、冗余互联，网络互联服务各项服务指标不得低于表2所列要求。</w:t>
      </w:r>
    </w:p>
    <w:p w14:paraId="48D4B651">
      <w:pPr>
        <w:spacing w:before="0" w:after="0" w:line="560" w:lineRule="exact"/>
        <w:ind w:firstLine="640"/>
        <w:jc w:val="both"/>
        <w:rPr>
          <w:rFonts w:hint="eastAsia" w:ascii="仿宋" w:hAnsi="仿宋" w:eastAsia="仿宋" w:cs="Times New Roman"/>
          <w:b w:val="0"/>
          <w:sz w:val="32"/>
          <w:szCs w:val="32"/>
        </w:rPr>
      </w:pPr>
    </w:p>
    <w:p w14:paraId="691E5E80">
      <w:pPr>
        <w:spacing w:before="0" w:after="0" w:line="560" w:lineRule="exact"/>
        <w:ind w:firstLine="640"/>
        <w:jc w:val="both"/>
        <w:rPr>
          <w:rFonts w:hint="eastAsia" w:ascii="仿宋" w:hAnsi="仿宋" w:eastAsia="仿宋" w:cs="Times New Roman"/>
          <w:b w:val="0"/>
          <w:sz w:val="32"/>
          <w:szCs w:val="32"/>
        </w:rPr>
      </w:pPr>
    </w:p>
    <w:p w14:paraId="09CF872F">
      <w:pPr>
        <w:spacing w:before="60" w:after="60" w:line="480" w:lineRule="exact"/>
        <w:jc w:val="center"/>
      </w:pPr>
      <w:r>
        <w:rPr>
          <w:rFonts w:hint="eastAsia" w:ascii="黑体" w:hAnsi="黑体" w:eastAsia="黑体" w:cs="Times New Roman"/>
          <w:b/>
          <w:sz w:val="24"/>
          <w:szCs w:val="24"/>
        </w:rPr>
        <w:t>表2</w:t>
      </w:r>
      <w:r>
        <w:rPr>
          <w:rFonts w:hint="eastAsia" w:ascii="黑体" w:hAnsi="黑体" w:eastAsia="黑体" w:cs="Times New Roman"/>
          <w:b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b/>
          <w:sz w:val="24"/>
          <w:szCs w:val="24"/>
        </w:rPr>
        <w:t>网络互联服务指标要求</w:t>
      </w:r>
    </w:p>
    <w:tbl>
      <w:tblPr>
        <w:tblStyle w:val="2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6644"/>
      </w:tblGrid>
      <w:tr w14:paraId="5BD1D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FDF3DF">
            <w:pPr>
              <w:spacing w:before="40" w:after="40" w:line="440" w:lineRule="exact"/>
              <w:jc w:val="center"/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服务指标</w:t>
            </w:r>
          </w:p>
        </w:tc>
        <w:tc>
          <w:tcPr>
            <w:tcW w:w="6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3B232B">
            <w:pPr>
              <w:spacing w:before="40" w:after="40" w:line="440" w:lineRule="exact"/>
              <w:jc w:val="center"/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要求</w:t>
            </w:r>
          </w:p>
        </w:tc>
      </w:tr>
      <w:tr w14:paraId="4046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1AEDAB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交换能力</w:t>
            </w:r>
          </w:p>
        </w:tc>
        <w:tc>
          <w:tcPr>
            <w:tcW w:w="6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BD1F92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提供≥2台万兆交换设备，单机≥16×10GE SFP+端口，双机冗余部署</w:t>
            </w:r>
          </w:p>
        </w:tc>
      </w:tr>
      <w:tr w14:paraId="34AE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B7057C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互联带宽</w:t>
            </w:r>
          </w:p>
        </w:tc>
        <w:tc>
          <w:tcPr>
            <w:tcW w:w="6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CF4510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全部节点万兆互联，双链路聚合，单链路中断业务无感知</w:t>
            </w:r>
          </w:p>
        </w:tc>
      </w:tr>
      <w:tr w14:paraId="0DABB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8D7D3A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流量隔离</w:t>
            </w:r>
          </w:p>
        </w:tc>
        <w:tc>
          <w:tcPr>
            <w:tcW w:w="6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FB1391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按业务划分独立VLAN，支持ACL策略</w:t>
            </w:r>
          </w:p>
        </w:tc>
      </w:tr>
      <w:tr w14:paraId="127EC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1DBE05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配套</w:t>
            </w:r>
          </w:p>
        </w:tc>
        <w:tc>
          <w:tcPr>
            <w:tcW w:w="6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1DFED9">
            <w:pPr>
              <w:spacing w:before="40" w:after="40" w:line="440" w:lineRule="exact"/>
              <w:jc w:val="center"/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含全部光模块、跳线及布线施工</w:t>
            </w:r>
          </w:p>
        </w:tc>
      </w:tr>
    </w:tbl>
    <w:p w14:paraId="602F1347">
      <w:pPr>
        <w:spacing w:before="120" w:after="60" w:line="560" w:lineRule="exact"/>
        <w:jc w:val="left"/>
        <w:outlineLvl w:val="0"/>
        <w:rPr>
          <w:rFonts w:hint="eastAsia" w:ascii="Times New Roman" w:hAnsi="Times New Roman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b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Times New Roman"/>
          <w:b w:val="0"/>
          <w:sz w:val="32"/>
          <w:szCs w:val="32"/>
        </w:rPr>
        <w:t>操作系统</w:t>
      </w:r>
    </w:p>
    <w:p w14:paraId="7686B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560" w:lineRule="exact"/>
        <w:ind w:firstLine="640" w:firstLineChars="200"/>
        <w:jc w:val="left"/>
        <w:textAlignment w:val="auto"/>
        <w:rPr>
          <w:rFonts w:hint="eastAsia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 w:val="0"/>
          <w:bCs/>
          <w:sz w:val="32"/>
          <w:szCs w:val="32"/>
          <w:lang w:val="en-US" w:eastAsia="zh-CN"/>
        </w:rPr>
        <w:t>推荐操作系统：银河麒麟V10、统信UOS服务器操作系统V20、OpenEuler(EulerOS)等</w:t>
      </w:r>
      <w:r>
        <w:rPr>
          <w:rFonts w:hint="eastAsia" w:ascii="仿宋" w:hAnsi="仿宋" w:eastAsia="仿宋" w:cs="Times New Roman"/>
          <w:b w:val="0"/>
          <w:bCs/>
          <w:sz w:val="32"/>
          <w:szCs w:val="32"/>
        </w:rPr>
        <w:t>，支持院方自主部署医疗业务软件。</w:t>
      </w:r>
    </w:p>
    <w:p w14:paraId="2AFEF279">
      <w:pPr>
        <w:numPr>
          <w:ilvl w:val="0"/>
          <w:numId w:val="1"/>
        </w:numPr>
        <w:spacing w:before="120" w:after="60" w:line="560" w:lineRule="exact"/>
        <w:jc w:val="left"/>
        <w:outlineLvl w:val="0"/>
        <w:rPr>
          <w:rFonts w:ascii="黑体" w:hAnsi="黑体" w:eastAsia="黑体"/>
          <w:b w:val="0"/>
          <w:sz w:val="32"/>
        </w:rPr>
      </w:pPr>
      <w:r>
        <w:rPr>
          <w:rFonts w:ascii="黑体" w:hAnsi="黑体" w:eastAsia="黑体"/>
          <w:b w:val="0"/>
          <w:sz w:val="32"/>
        </w:rPr>
        <w:t>服务交付要求</w:t>
      </w:r>
    </w:p>
    <w:p w14:paraId="20D25330">
      <w:pPr>
        <w:numPr>
          <w:ilvl w:val="0"/>
          <w:numId w:val="0"/>
        </w:numPr>
        <w:spacing w:before="120" w:after="60" w:line="560" w:lineRule="exact"/>
        <w:jc w:val="left"/>
        <w:outlineLvl w:val="0"/>
        <w:rPr>
          <w:rFonts w:hint="eastAsia" w:ascii="黑体" w:hAnsi="黑体" w:eastAsia="黑体"/>
          <w:b w:val="0"/>
          <w:sz w:val="32"/>
          <w:lang w:val="en-US" w:eastAsia="zh-CN"/>
        </w:rPr>
      </w:pPr>
    </w:p>
    <w:p w14:paraId="05D99A8F">
      <w:pPr>
        <w:ind w:firstLine="640"/>
        <w:jc w:val="both"/>
      </w:pPr>
      <w:r>
        <w:rPr>
          <w:rFonts w:ascii="仿宋" w:hAnsi="仿宋" w:eastAsia="仿宋"/>
          <w:sz w:val="32"/>
          <w:szCs w:val="32"/>
        </w:rPr>
        <w:t>服务商应在合同签订后按照本文件所列需求，完成以下服务交付工作：</w:t>
      </w:r>
    </w:p>
    <w:p w14:paraId="706F24DB">
      <w:pPr>
        <w:ind w:firstLine="640"/>
        <w:jc w:val="both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（一）方案设计：根据院方实际机房环境，编制详细的硬件部署方案、网络拓扑方案和平台适配方案，经院方确认后方可实施。</w:t>
      </w:r>
    </w:p>
    <w:p w14:paraId="2838B3AF">
      <w:pPr>
        <w:ind w:firstLine="640"/>
        <w:jc w:val="both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（二）设备交付与部署：按本文件要求提供全部硬件设备，完成设备上架、布线、加电调试，确保所有设备正常运行。</w:t>
      </w:r>
    </w:p>
    <w:p w14:paraId="016D9E8A">
      <w:pPr>
        <w:ind w:firstLine="640"/>
        <w:jc w:val="both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（三）平台适配联调：与大数据平台软件（TDH/Argo）厂商配合，完成操作系统安装、网络配置、平台软件部署及联合调试，确保平台各项功能正常运行。</w:t>
      </w:r>
    </w:p>
    <w:p w14:paraId="0DBFB6A6">
      <w:pPr>
        <w:ind w:firstLine="640"/>
        <w:jc w:val="both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（四）验收交付：完成全部实施工作后，由院方组织验收。验收内容包括硬件配置核对、性能测试、功能验证、网络连通性测试、文档移交等。验收合格后签署验收报告，进入服务期。</w:t>
      </w:r>
    </w:p>
    <w:p w14:paraId="0FCFEB2B">
      <w:pPr>
        <w:ind w:firstLine="640"/>
        <w:jc w:val="both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（五）文档移交：交付时应提供完整的部署文档、网络拓扑图、运维操作手册、硬件资产清单、应急预案等文档资料。</w:t>
      </w:r>
    </w:p>
    <w:p w14:paraId="1CC2C206">
      <w:pPr>
        <w:spacing w:before="120" w:after="60" w:line="560" w:lineRule="exact"/>
        <w:jc w:val="left"/>
        <w:outlineLvl w:val="0"/>
        <w:rPr>
          <w:rFonts w:ascii="Times New Roman" w:hAnsi="Times New Roman" w:eastAsia="黑体"/>
          <w:b/>
          <w:sz w:val="30"/>
        </w:rPr>
      </w:pPr>
      <w:r>
        <w:rPr>
          <w:rFonts w:hint="eastAsia" w:ascii="黑体" w:hAnsi="黑体" w:eastAsia="黑体" w:cs="Times New Roman"/>
          <w:b w:val="0"/>
          <w:sz w:val="32"/>
          <w:szCs w:val="32"/>
          <w:lang w:val="en-US" w:eastAsia="zh-CN"/>
        </w:rPr>
        <w:t>六、</w:t>
      </w:r>
      <w:r>
        <w:rPr>
          <w:rFonts w:ascii="黑体" w:hAnsi="黑体" w:eastAsia="黑体"/>
          <w:b w:val="0"/>
          <w:sz w:val="32"/>
        </w:rPr>
        <w:t>服务等级（SLA）与考核办法</w:t>
      </w:r>
    </w:p>
    <w:p w14:paraId="45B89965">
      <w:pPr>
        <w:spacing w:before="60" w:after="60" w:line="560" w:lineRule="exact"/>
        <w:jc w:val="left"/>
      </w:pPr>
      <w:r>
        <w:rPr>
          <w:rFonts w:hint="eastAsia" w:ascii="楷体" w:hAnsi="楷体" w:eastAsia="楷体"/>
          <w:b w:val="0"/>
          <w:sz w:val="32"/>
          <w:lang w:val="en-US" w:eastAsia="zh-CN"/>
        </w:rPr>
        <w:t>（一）可用性指标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4"/>
        <w:gridCol w:w="4278"/>
      </w:tblGrid>
      <w:tr w14:paraId="324F4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3" w:type="dxa"/>
            <w:shd w:val="clear" w:color="auto" w:fill="FFFFFF" w:themeFill="background1"/>
            <w:vAlign w:val="top"/>
          </w:tcPr>
          <w:p w14:paraId="6A24733A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指标</w:t>
            </w:r>
          </w:p>
        </w:tc>
        <w:tc>
          <w:tcPr>
            <w:tcW w:w="4533" w:type="dxa"/>
            <w:shd w:val="clear" w:color="auto" w:fill="FFFFFF" w:themeFill="background1"/>
            <w:vAlign w:val="top"/>
          </w:tcPr>
          <w:p w14:paraId="311253F0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承诺值</w:t>
            </w:r>
          </w:p>
        </w:tc>
      </w:tr>
      <w:tr w14:paraId="5CC2E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3" w:type="dxa"/>
          </w:tcPr>
          <w:p w14:paraId="73332ABC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算力服务整体可用性</w:t>
            </w:r>
          </w:p>
        </w:tc>
        <w:tc>
          <w:tcPr>
            <w:tcW w:w="4533" w:type="dxa"/>
          </w:tcPr>
          <w:p w14:paraId="044C832C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≥99.9%</w:t>
            </w:r>
          </w:p>
        </w:tc>
      </w:tr>
      <w:tr w14:paraId="08EBB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3" w:type="dxa"/>
          </w:tcPr>
          <w:p w14:paraId="04F3F2E1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存储服务可用性</w:t>
            </w:r>
          </w:p>
        </w:tc>
        <w:tc>
          <w:tcPr>
            <w:tcW w:w="4533" w:type="dxa"/>
          </w:tcPr>
          <w:p w14:paraId="2C8F6C82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≥99.99%</w:t>
            </w:r>
          </w:p>
        </w:tc>
      </w:tr>
      <w:tr w14:paraId="1D8C8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3" w:type="dxa"/>
          </w:tcPr>
          <w:p w14:paraId="570C3849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网络服务可用性</w:t>
            </w:r>
          </w:p>
        </w:tc>
        <w:tc>
          <w:tcPr>
            <w:tcW w:w="4533" w:type="dxa"/>
          </w:tcPr>
          <w:p w14:paraId="0CF7674E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≥99.99%</w:t>
            </w:r>
          </w:p>
        </w:tc>
      </w:tr>
      <w:tr w14:paraId="0CC93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3" w:type="dxa"/>
          </w:tcPr>
          <w:p w14:paraId="600D267F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单节点故障影响</w:t>
            </w:r>
          </w:p>
        </w:tc>
        <w:tc>
          <w:tcPr>
            <w:tcW w:w="4533" w:type="dxa"/>
          </w:tcPr>
          <w:p w14:paraId="31B8E86E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不造成数据丢失，不中断集群整体服务</w:t>
            </w:r>
          </w:p>
        </w:tc>
      </w:tr>
    </w:tbl>
    <w:p w14:paraId="7AB31239"/>
    <w:p w14:paraId="6B5007C7">
      <w:pPr>
        <w:spacing w:before="60" w:after="60" w:line="560" w:lineRule="exact"/>
        <w:jc w:val="left"/>
      </w:pPr>
      <w:r>
        <w:rPr>
          <w:rFonts w:hint="eastAsia" w:ascii="楷体" w:hAnsi="楷体" w:eastAsia="楷体"/>
          <w:b w:val="0"/>
          <w:sz w:val="32"/>
          <w:lang w:val="en-US" w:eastAsia="zh-CN"/>
        </w:rPr>
        <w:t>（二）故障分级与响应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20"/>
        <w:gridCol w:w="1700"/>
        <w:gridCol w:w="1701"/>
        <w:gridCol w:w="1701"/>
      </w:tblGrid>
      <w:tr w14:paraId="15754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13" w:type="dxa"/>
            <w:shd w:val="clear" w:color="auto" w:fill="FFFFFF" w:themeFill="background1"/>
            <w:vAlign w:val="top"/>
          </w:tcPr>
          <w:p w14:paraId="1A36606A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级别</w:t>
            </w:r>
          </w:p>
        </w:tc>
        <w:tc>
          <w:tcPr>
            <w:tcW w:w="1813" w:type="dxa"/>
            <w:shd w:val="clear" w:color="auto" w:fill="FFFFFF" w:themeFill="background1"/>
            <w:vAlign w:val="top"/>
          </w:tcPr>
          <w:p w14:paraId="23BA79BE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定义</w:t>
            </w:r>
          </w:p>
        </w:tc>
        <w:tc>
          <w:tcPr>
            <w:tcW w:w="1813" w:type="dxa"/>
            <w:shd w:val="clear" w:color="auto" w:fill="FFFFFF" w:themeFill="background1"/>
            <w:vAlign w:val="top"/>
          </w:tcPr>
          <w:p w14:paraId="6DF795EC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响应</w:t>
            </w:r>
          </w:p>
        </w:tc>
        <w:tc>
          <w:tcPr>
            <w:tcW w:w="1813" w:type="dxa"/>
            <w:shd w:val="clear" w:color="auto" w:fill="FFFFFF" w:themeFill="background1"/>
            <w:vAlign w:val="top"/>
          </w:tcPr>
          <w:p w14:paraId="322607BC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恢复</w:t>
            </w:r>
          </w:p>
        </w:tc>
        <w:tc>
          <w:tcPr>
            <w:tcW w:w="1813" w:type="dxa"/>
            <w:shd w:val="clear" w:color="auto" w:fill="FFFFFF" w:themeFill="background1"/>
            <w:vAlign w:val="top"/>
          </w:tcPr>
          <w:p w14:paraId="3A59589A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/>
                <w:bCs w:val="0"/>
                <w:sz w:val="24"/>
                <w:szCs w:val="24"/>
              </w:rPr>
              <w:t>现场</w:t>
            </w:r>
          </w:p>
        </w:tc>
      </w:tr>
      <w:tr w14:paraId="350E5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</w:tcPr>
          <w:p w14:paraId="0DE86273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P1</w:t>
            </w:r>
          </w:p>
        </w:tc>
        <w:tc>
          <w:tcPr>
            <w:tcW w:w="1813" w:type="dxa"/>
          </w:tcPr>
          <w:p w14:paraId="593EC5EF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集群服务中断、多节点故障、数据不可用</w:t>
            </w:r>
          </w:p>
        </w:tc>
        <w:tc>
          <w:tcPr>
            <w:tcW w:w="1813" w:type="dxa"/>
          </w:tcPr>
          <w:p w14:paraId="00893B42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≤15分钟</w:t>
            </w:r>
          </w:p>
        </w:tc>
        <w:tc>
          <w:tcPr>
            <w:tcW w:w="1813" w:type="dxa"/>
          </w:tcPr>
          <w:p w14:paraId="67D7E410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≤2小时</w:t>
            </w:r>
          </w:p>
        </w:tc>
        <w:tc>
          <w:tcPr>
            <w:tcW w:w="1813" w:type="dxa"/>
          </w:tcPr>
          <w:p w14:paraId="000E3DF3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≤4小时到场</w:t>
            </w:r>
          </w:p>
        </w:tc>
      </w:tr>
      <w:tr w14:paraId="25A67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</w:tcPr>
          <w:p w14:paraId="5CC1B885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P2</w:t>
            </w:r>
          </w:p>
        </w:tc>
        <w:tc>
          <w:tcPr>
            <w:tcW w:w="1813" w:type="dxa"/>
          </w:tcPr>
          <w:p w14:paraId="640AECB5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单节点故障、性能降级、单链路中断</w:t>
            </w:r>
          </w:p>
        </w:tc>
        <w:tc>
          <w:tcPr>
            <w:tcW w:w="1813" w:type="dxa"/>
          </w:tcPr>
          <w:p w14:paraId="15073DD9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≤30分钟</w:t>
            </w:r>
          </w:p>
        </w:tc>
        <w:tc>
          <w:tcPr>
            <w:tcW w:w="1813" w:type="dxa"/>
          </w:tcPr>
          <w:p w14:paraId="0A359360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≤4小时</w:t>
            </w:r>
          </w:p>
        </w:tc>
        <w:tc>
          <w:tcPr>
            <w:tcW w:w="1813" w:type="dxa"/>
          </w:tcPr>
          <w:p w14:paraId="461097C2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≤8小时到场</w:t>
            </w:r>
          </w:p>
        </w:tc>
      </w:tr>
      <w:tr w14:paraId="37023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3" w:type="dxa"/>
          </w:tcPr>
          <w:p w14:paraId="01FE91FF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P3</w:t>
            </w:r>
          </w:p>
        </w:tc>
        <w:tc>
          <w:tcPr>
            <w:tcW w:w="1813" w:type="dxa"/>
          </w:tcPr>
          <w:p w14:paraId="5E1FAEAC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一般告警、咨询、优化需求</w:t>
            </w:r>
          </w:p>
        </w:tc>
        <w:tc>
          <w:tcPr>
            <w:tcW w:w="1813" w:type="dxa"/>
          </w:tcPr>
          <w:p w14:paraId="586F614B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≤2小时</w:t>
            </w:r>
          </w:p>
        </w:tc>
        <w:tc>
          <w:tcPr>
            <w:tcW w:w="1813" w:type="dxa"/>
          </w:tcPr>
          <w:p w14:paraId="7143D4AB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≤24小时</w:t>
            </w:r>
          </w:p>
        </w:tc>
        <w:tc>
          <w:tcPr>
            <w:tcW w:w="1813" w:type="dxa"/>
          </w:tcPr>
          <w:p w14:paraId="47333CDA">
            <w:pPr>
              <w:spacing w:before="40" w:after="40" w:line="440" w:lineRule="exact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4"/>
                <w:szCs w:val="24"/>
              </w:rPr>
              <w:t>远程处理</w:t>
            </w:r>
          </w:p>
        </w:tc>
      </w:tr>
    </w:tbl>
    <w:p w14:paraId="766CD7C1">
      <w:pPr>
        <w:spacing w:line="576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60A391D5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sz w:val="32"/>
          <w:szCs w:val="32"/>
        </w:rPr>
        <w:t>备件保障：本地备件库或与原厂备件绿色通道承诺，关键部件（硬盘、电源、网卡）≤4小时更换。</w:t>
      </w:r>
    </w:p>
    <w:p w14:paraId="44CCEF90">
      <w:pPr>
        <w:spacing w:before="60" w:after="60" w:line="560" w:lineRule="exact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楷体" w:hAnsi="楷体" w:eastAsia="楷体" w:cs="Times New Roman"/>
          <w:b w:val="0"/>
          <w:sz w:val="32"/>
          <w:szCs w:val="32"/>
          <w:lang w:val="en-US" w:eastAsia="zh-CN"/>
        </w:rPr>
        <w:t>（三）例行服务</w:t>
      </w:r>
    </w:p>
    <w:p w14:paraId="74D78B0D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sz w:val="32"/>
          <w:szCs w:val="32"/>
        </w:rPr>
        <w:t>7×24小时远程监控与告警（告警同步推送院方指定接口人）</w:t>
      </w:r>
    </w:p>
    <w:p w14:paraId="4D781C91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sz w:val="32"/>
          <w:szCs w:val="32"/>
        </w:rPr>
        <w:t>每季度1次现场巡检并出具巡检报告</w:t>
      </w:r>
    </w:p>
    <w:p w14:paraId="45673F02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sz w:val="32"/>
          <w:szCs w:val="32"/>
        </w:rPr>
        <w:t>每年提交年度服务总结与容量/性能优化建议</w:t>
      </w:r>
    </w:p>
    <w:p w14:paraId="4326301C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sz w:val="32"/>
          <w:szCs w:val="32"/>
        </w:rPr>
        <w:t>服务期内硬件老化、故障率升高或性能不达标时，免费更换或升级设备</w:t>
      </w:r>
    </w:p>
    <w:p w14:paraId="68FDD858">
      <w:pPr>
        <w:spacing w:before="60" w:after="60" w:line="560" w:lineRule="exact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楷体" w:hAnsi="楷体" w:eastAsia="楷体" w:cs="Times New Roman"/>
          <w:b w:val="0"/>
          <w:sz w:val="32"/>
          <w:szCs w:val="32"/>
          <w:lang w:val="en-US" w:eastAsia="zh-CN"/>
        </w:rPr>
        <w:t>（四）考核与付费挂钩</w:t>
      </w:r>
    </w:p>
    <w:p w14:paraId="0108F85A">
      <w:pPr>
        <w:spacing w:before="60" w:after="60" w:line="560" w:lineRule="exact"/>
        <w:jc w:val="left"/>
        <w:rPr>
          <w:rFonts w:hint="eastAsia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bCs/>
          <w:sz w:val="32"/>
          <w:szCs w:val="32"/>
        </w:rPr>
        <w:t>1. 年服务费按季度支付；</w:t>
      </w:r>
    </w:p>
    <w:p w14:paraId="15A57E7F">
      <w:pPr>
        <w:spacing w:before="60" w:after="60" w:line="560" w:lineRule="exact"/>
        <w:jc w:val="left"/>
        <w:rPr>
          <w:rFonts w:hint="eastAsia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bCs/>
          <w:sz w:val="32"/>
          <w:szCs w:val="32"/>
        </w:rPr>
        <w:t>2. 年度考核由信息统计部组织，满分100分，85分为合格线：</w:t>
      </w:r>
    </w:p>
    <w:p w14:paraId="10C10AC1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bCs/>
          <w:sz w:val="32"/>
          <w:szCs w:val="32"/>
        </w:rPr>
        <w:t>考核≥85分：全额支付考核部分；</w:t>
      </w:r>
    </w:p>
    <w:p w14:paraId="2B04A781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bCs/>
          <w:sz w:val="32"/>
          <w:szCs w:val="32"/>
        </w:rPr>
        <w:t>考核70~84分：按比例支付；</w:t>
      </w:r>
    </w:p>
    <w:p w14:paraId="12455C79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bCs/>
          <w:sz w:val="32"/>
          <w:szCs w:val="32"/>
        </w:rPr>
        <w:t>考核&lt;70分：考核部分不予支付，且院方有权解除合同；</w:t>
      </w:r>
    </w:p>
    <w:p w14:paraId="72F15BCA">
      <w:pPr>
        <w:spacing w:before="60" w:after="60" w:line="560" w:lineRule="exact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bCs/>
          <w:sz w:val="32"/>
          <w:szCs w:val="32"/>
        </w:rPr>
        <w:t>3. 具体考核细则（可用性达成率、故障响应达标率、巡检完成率、文档完备性）在合同附件中约定。</w:t>
      </w:r>
    </w:p>
    <w:p w14:paraId="44041098">
      <w:pPr>
        <w:spacing w:before="120" w:after="60" w:line="560" w:lineRule="exact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Times New Roman"/>
          <w:b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Times New Roman"/>
          <w:b w:val="0"/>
          <w:sz w:val="32"/>
          <w:szCs w:val="32"/>
        </w:rPr>
        <w:t>、服务期与合同结构</w:t>
      </w:r>
    </w:p>
    <w:p w14:paraId="5BC1FE1F">
      <w:pPr>
        <w:spacing w:before="60" w:after="60" w:line="560" w:lineRule="exact"/>
        <w:jc w:val="left"/>
        <w:rPr>
          <w:rFonts w:hint="eastAsia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bCs/>
          <w:sz w:val="32"/>
          <w:szCs w:val="32"/>
        </w:rPr>
        <w:t>1. 首次采购服务期：3年（一采三年），合同一</w:t>
      </w:r>
      <w:r>
        <w:rPr>
          <w:rFonts w:hint="eastAsia" w:ascii="仿宋" w:hAnsi="仿宋" w:eastAsia="仿宋" w:cs="Times New Roman"/>
          <w:b w:val="0"/>
          <w:bCs/>
          <w:sz w:val="32"/>
          <w:szCs w:val="32"/>
          <w:lang w:val="en-US" w:eastAsia="zh-CN"/>
        </w:rPr>
        <w:t>年一</w:t>
      </w:r>
      <w:r>
        <w:rPr>
          <w:rFonts w:hint="eastAsia" w:ascii="仿宋" w:hAnsi="仿宋" w:eastAsia="仿宋" w:cs="Times New Roman"/>
          <w:b w:val="0"/>
          <w:bCs/>
          <w:sz w:val="32"/>
          <w:szCs w:val="32"/>
        </w:rPr>
        <w:t>签；</w:t>
      </w:r>
    </w:p>
    <w:p w14:paraId="488E9730">
      <w:pPr>
        <w:spacing w:before="60" w:after="60" w:line="560" w:lineRule="exact"/>
        <w:jc w:val="left"/>
        <w:rPr>
          <w:rFonts w:hint="eastAsia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仿宋" w:hAnsi="仿宋" w:eastAsia="仿宋" w:cs="Times New Roman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Times New Roman"/>
          <w:b w:val="0"/>
          <w:bCs/>
          <w:sz w:val="32"/>
          <w:szCs w:val="32"/>
        </w:rPr>
        <w:t>. 服务商不得以任何理由在服务期内单方面中断服务。</w:t>
      </w:r>
    </w:p>
    <w:p w14:paraId="5EA64F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ACB9F9"/>
    <w:multiLevelType w:val="singleLevel"/>
    <w:tmpl w:val="7EACB9F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675D7B"/>
    <w:rsid w:val="7E67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2026-08-01T01:46:00Z</dcterms:created>
  <dc:creator>萬事可樂</dc:creator>
  <cp:lastModifiedBy>萬事可樂</cp:lastModifiedBy>
  <dcterms:modified xsi:type="dcterms:W3CDTF">2026-08-01T01:47:49Z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1BF4B37FE4E942C7B448E3759AFC6DA8_11</vt:lpwstr>
  </property>
  <property fmtid="{D5CDD505-2E9C-101B-9397-08002B2CF9AE}" pid="4" name="KSOTemplateDocerSaveRecord">
    <vt:lpwstr>eyJoZGlkIjoiMWQxZjllNDQ5Y2JlNzI1YzViMGM2MTFkMzg0YWZiNDYiLCJ1c2VySWQiOiIxMjc1MTI4Nzk1In0=</vt:lpwstr>
  </property>
</Properties>
</file>