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389" w:type="dxa"/>
        <w:tblInd w:w="-5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4"/>
        <w:gridCol w:w="717"/>
        <w:gridCol w:w="766"/>
        <w:gridCol w:w="817"/>
        <w:gridCol w:w="641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项目序号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科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室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设备名称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进口/国产</w:t>
            </w:r>
          </w:p>
        </w:tc>
        <w:tc>
          <w:tcPr>
            <w:tcW w:w="6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小儿科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生物反馈胃肠动力仪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6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1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、具备至少两种检测模式：胃电检测模式和肠电检测模式等，其中胃电检测分为餐前检测和餐后检测。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2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、胃电图检测参数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2.1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、模拟胃电输入波形参数范围：模拟胃电波形输入频率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0.03Hz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～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0.1Hz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；模拟胃电波形输入幅值：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30uV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～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500uV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。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2.2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、检测结果输出参数及范围内允差：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1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）胃电慢波百分比（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 xml:space="preserve"> 2.4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～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3.7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次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/min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），允许误差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±5%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；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2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）胃电节律紊乱百分比（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&lt;2.4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次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/min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或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&gt;3.7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次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/min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），允许误差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±5%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；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3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）波形主频率（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CPM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），允许误差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±5%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；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4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）慢波频率不稳定系数（频率标准差和平均数之比），允许误差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±5%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；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5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）波形平均频率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(CPM)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，允许误差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±5%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；波形平均幅值（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uV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），允许误差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±10%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；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6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）餐后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/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餐前功率比，允许误差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±5%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。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3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、肠电图检测参数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3.1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、模拟肠电输入波形参数范围：模拟输入肠电波形频率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0.03Hz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～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0.35Hz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；模拟输入肠电波形幅值：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30uV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～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500uV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。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3.2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、检测结果输出参数及范围内允差：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1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）升结肠频率（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CPM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）、降结肠频率（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CPM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）、横结肠频率（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CPM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），允许误差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±5%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；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2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）升结肠幅值（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uV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）、降结肠幅值（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uV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）、横结肠幅值（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uV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），允许误差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±10%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。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二、具备功能性胃肠病治疗系统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1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、治疗波形频率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: 0.05Hz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～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100Hz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可设置，步进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0.01Hz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，允许误差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±5%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。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2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、治疗波形设置，正弦波、方波、阶梯波、指数波、三角波、梯形波、锯齿波、尖峰波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8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种波形组合，每种波形一次可重复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1-3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次可选；治疗波形幅值设置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: 0V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～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18V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可设置，步进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0.1V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。输出误差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±10%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。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三、配置要求：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生物反馈胃肠动力仪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 xml:space="preserve">  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主机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 xml:space="preserve">   1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台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心电导联线（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5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针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5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导）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 xml:space="preserve">      2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根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心电导联线（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6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针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5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导）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 xml:space="preserve">      1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根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电极片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 xml:space="preserve">                     80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4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小儿科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双目视力筛查仪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6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1.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可检测：近视、远视、散光、轴位、斜视、不等视、红光反射异常、瞳孔大小、瞳距，屈光参差，凝视不对等，瞳孔大小不等，等项目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2.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适用人群：六个月以上人群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3.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工作模式：双眼同时测量、左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/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右眼单独测量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4.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球镜度数测量范围：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-8.00D ~ +8.00D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a)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分辨率：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0.25D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b)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精确度：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 xml:space="preserve">-4.00D 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至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 xml:space="preserve"> +4.00D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±0.50D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；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 xml:space="preserve">-8.00D 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至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&lt;-4.00D, ±1.00D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；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 xml:space="preserve">&gt;+4.00D 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至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8.00D, ±1.00D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柱镜度数测量范围：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 xml:space="preserve">0.00D 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至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+3.00D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（或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-3.00D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 xml:space="preserve">a) 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分辨率：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0.25D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 xml:space="preserve">b) 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精确度：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 xml:space="preserve">0.00D 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至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1.50D, ±0.50D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 xml:space="preserve">&gt;1.50D 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至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3.00D, ±1.00D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轴位范围：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1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到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180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度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 xml:space="preserve">a) 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分辨率：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1°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 xml:space="preserve">b) 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精确度：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±10°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5.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支持热敏打印便条（结果数值，结果描述包含近视，远视，散光，屈光参差，瞳孔大小不等，斜视，凝视不对等以及结果描述等）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MjMxMGQyODAyNmQ0ZTBlMmUxNzRmZTNhZjFiZTYifQ=="/>
  </w:docVars>
  <w:rsids>
    <w:rsidRoot w:val="1E6C553A"/>
    <w:rsid w:val="1E6C553A"/>
    <w:rsid w:val="660B0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31"/>
    <w:basedOn w:val="3"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5">
    <w:name w:val="font41"/>
    <w:basedOn w:val="3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2023-09-08T09:26:00Z</dcterms:created>
  <dc:creator>医学装备科</dc:creator>
  <cp:lastModifiedBy>医学装备科</cp:lastModifiedBy>
  <dcterms:modified xsi:type="dcterms:W3CDTF">2023-09-08T09:27:29Z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2052-12.1.0.15358</vt:lpwstr>
  </property>
  <property fmtid="{D5CDD505-2E9C-101B-9397-08002B2CF9AE}" pid="3" name="ICV">
    <vt:lpwstr>9EA3A76D8F824EF3AA3148F2D2C4E17F_11</vt:lpwstr>
  </property>
</Properties>
</file>