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keepNext w:val="0"/>
        <w:keepLines w:val="0"/>
        <w:widowControl/>
        <w:suppressLineNumbers w:val="0"/>
        <w:ind w:left="0" w:firstLine="301" w:firstLineChars="100"/>
        <w:jc w:val="center"/>
        <w:rPr>
          <w:rFonts w:hint="eastAsia" w:cs="仿宋_GB2312" w:asciiTheme="majorEastAsia" w:hAnsiTheme="majorEastAsia" w:eastAsiaTheme="majorEastAsia"/>
          <w:b/>
          <w:bCs/>
          <w:sz w:val="30"/>
          <w:szCs w:val="30"/>
        </w:rPr>
      </w:pPr>
      <w:r>
        <w:rPr>
          <w:rFonts w:hint="eastAsia" w:cs="仿宋_GB2312" w:asciiTheme="majorEastAsia" w:hAnsiTheme="majorEastAsia" w:eastAsiaTheme="majorEastAsia"/>
          <w:b/>
          <w:bCs/>
          <w:sz w:val="30"/>
          <w:szCs w:val="30"/>
        </w:rPr>
        <w:t>成都市第五人民医院</w:t>
      </w:r>
    </w:p>
    <w:p>
      <w:pPr>
        <w:pStyle w:val="13"/>
        <w:keepNext w:val="0"/>
        <w:keepLines w:val="0"/>
        <w:widowControl/>
        <w:suppressLineNumbers w:val="0"/>
        <w:ind w:left="0" w:firstLine="0"/>
        <w:jc w:val="center"/>
        <w:rPr>
          <w:rFonts w:hint="eastAsia" w:cs="仿宋_GB2312" w:asciiTheme="majorEastAsia" w:hAnsiTheme="majorEastAsia" w:eastAsiaTheme="majorEastAsia"/>
          <w:b/>
          <w:bCs/>
          <w:sz w:val="30"/>
          <w:szCs w:val="30"/>
        </w:rPr>
      </w:pPr>
      <w:r>
        <w:rPr>
          <w:rFonts w:hint="eastAsia" w:cs="仿宋_GB2312" w:asciiTheme="majorEastAsia" w:hAnsiTheme="majorEastAsia" w:eastAsiaTheme="majorEastAsia"/>
          <w:b/>
          <w:bCs/>
          <w:sz w:val="30"/>
          <w:szCs w:val="30"/>
        </w:rPr>
        <w:t>基于无纸化电子病历的电子签名项目市场调研参数</w:t>
      </w:r>
    </w:p>
    <w:p>
      <w:pPr>
        <w:pStyle w:val="2"/>
        <w:rPr>
          <w:rFonts w:hint="default" w:eastAsia="宋体"/>
          <w:b/>
          <w:bCs/>
          <w:sz w:val="28"/>
          <w:szCs w:val="28"/>
          <w:lang w:val="en-US" w:eastAsia="zh-CN"/>
        </w:rPr>
      </w:pPr>
      <w:r>
        <w:rPr>
          <w:rFonts w:hint="eastAsia"/>
          <w:b/>
          <w:bCs/>
          <w:sz w:val="28"/>
          <w:szCs w:val="28"/>
          <w:lang w:val="en-US" w:eastAsia="zh-CN"/>
        </w:rPr>
        <w:t>一、项目背景</w:t>
      </w:r>
    </w:p>
    <w:p>
      <w:pPr>
        <w:pStyle w:val="19"/>
        <w:spacing w:before="93"/>
        <w:ind w:firstLine="560"/>
        <w:rPr>
          <w:rFonts w:ascii="仿宋" w:hAnsi="仿宋" w:eastAsia="仿宋"/>
          <w:color w:val="000000"/>
          <w:sz w:val="28"/>
          <w:szCs w:val="28"/>
        </w:rPr>
      </w:pPr>
      <w:r>
        <w:rPr>
          <w:rFonts w:ascii="仿宋" w:hAnsi="仿宋" w:eastAsia="仿宋"/>
          <w:color w:val="000000"/>
          <w:sz w:val="28"/>
          <w:szCs w:val="28"/>
        </w:rPr>
        <w:t>电子病历是医疗信息化的重要组成部分，为加强医疗机构电子病历管理和临床使用，提升医疗机构信息化水平</w:t>
      </w:r>
      <w:r>
        <w:rPr>
          <w:rFonts w:hint="eastAsia" w:ascii="仿宋" w:hAnsi="仿宋" w:eastAsia="仿宋"/>
          <w:color w:val="000000"/>
          <w:sz w:val="28"/>
          <w:szCs w:val="28"/>
        </w:rPr>
        <w:t>，</w:t>
      </w:r>
      <w:r>
        <w:rPr>
          <w:rFonts w:ascii="仿宋" w:hAnsi="仿宋" w:eastAsia="仿宋"/>
          <w:color w:val="000000"/>
          <w:sz w:val="28"/>
          <w:szCs w:val="28"/>
        </w:rPr>
        <w:t>保障医疗管理信息系统的安全，规避医疗行为的法律风险</w:t>
      </w:r>
      <w:r>
        <w:rPr>
          <w:rFonts w:hint="eastAsia" w:ascii="仿宋" w:hAnsi="仿宋" w:eastAsia="仿宋"/>
          <w:color w:val="000000"/>
          <w:sz w:val="28"/>
          <w:szCs w:val="28"/>
        </w:rPr>
        <w:t>，</w:t>
      </w:r>
      <w:r>
        <w:rPr>
          <w:rFonts w:ascii="仿宋" w:hAnsi="仿宋" w:eastAsia="仿宋"/>
          <w:color w:val="000000"/>
          <w:sz w:val="28"/>
          <w:szCs w:val="28"/>
        </w:rPr>
        <w:t>国家和相关医疗机构主管部门陆续颁布了相关的法律和规范</w:t>
      </w:r>
      <w:r>
        <w:rPr>
          <w:rFonts w:hint="eastAsia" w:ascii="仿宋" w:hAnsi="仿宋" w:eastAsia="仿宋"/>
          <w:color w:val="000000"/>
          <w:sz w:val="28"/>
          <w:szCs w:val="28"/>
        </w:rPr>
        <w:t>，</w:t>
      </w:r>
      <w:r>
        <w:rPr>
          <w:rFonts w:ascii="仿宋" w:hAnsi="仿宋" w:eastAsia="仿宋"/>
          <w:color w:val="000000"/>
          <w:sz w:val="28"/>
          <w:szCs w:val="28"/>
        </w:rPr>
        <w:t>对于电子病历的相关使用提出了要求</w:t>
      </w:r>
      <w:r>
        <w:rPr>
          <w:rFonts w:hint="eastAsia" w:ascii="仿宋" w:hAnsi="仿宋" w:eastAsia="仿宋"/>
          <w:color w:val="000000"/>
          <w:sz w:val="28"/>
          <w:szCs w:val="28"/>
        </w:rPr>
        <w:t>。</w:t>
      </w:r>
    </w:p>
    <w:p>
      <w:pPr>
        <w:pStyle w:val="19"/>
        <w:spacing w:before="93"/>
        <w:ind w:firstLine="560"/>
        <w:rPr>
          <w:rFonts w:ascii="仿宋" w:hAnsi="仿宋" w:eastAsia="仿宋"/>
          <w:color w:val="000000"/>
          <w:sz w:val="28"/>
          <w:szCs w:val="28"/>
        </w:rPr>
      </w:pPr>
      <w:r>
        <w:rPr>
          <w:rFonts w:ascii="仿宋" w:hAnsi="仿宋" w:eastAsia="仿宋"/>
          <w:color w:val="000000"/>
          <w:sz w:val="28"/>
          <w:szCs w:val="28"/>
        </w:rPr>
        <w:t>2005年4月</w:t>
      </w:r>
      <w:r>
        <w:rPr>
          <w:rFonts w:hint="eastAsia" w:ascii="仿宋" w:hAnsi="仿宋" w:eastAsia="仿宋"/>
          <w:color w:val="000000"/>
          <w:sz w:val="28"/>
          <w:szCs w:val="28"/>
        </w:rPr>
        <w:t>1日</w:t>
      </w:r>
      <w:r>
        <w:rPr>
          <w:rFonts w:ascii="仿宋" w:hAnsi="仿宋" w:eastAsia="仿宋"/>
          <w:color w:val="000000"/>
          <w:sz w:val="28"/>
          <w:szCs w:val="28"/>
        </w:rPr>
        <w:t>，我国颁布实施的</w:t>
      </w:r>
      <w:r>
        <w:rPr>
          <w:rFonts w:ascii="仿宋" w:hAnsi="仿宋" w:eastAsia="仿宋"/>
          <w:b/>
          <w:color w:val="000000"/>
          <w:sz w:val="28"/>
          <w:szCs w:val="28"/>
        </w:rPr>
        <w:t>《电子签名法》</w:t>
      </w:r>
      <w:r>
        <w:rPr>
          <w:rFonts w:ascii="仿宋" w:hAnsi="仿宋" w:eastAsia="仿宋"/>
          <w:color w:val="000000"/>
          <w:sz w:val="28"/>
          <w:szCs w:val="28"/>
        </w:rPr>
        <w:t>，在法律层面上确立了电子签名的效力，规范了电子签名的行为，解决了电子签名的合法性问题，从而为电子病历的应用奠定了重要基础。</w:t>
      </w:r>
    </w:p>
    <w:p>
      <w:pPr>
        <w:pStyle w:val="19"/>
        <w:spacing w:before="93"/>
        <w:ind w:firstLine="560"/>
        <w:rPr>
          <w:rFonts w:ascii="仿宋" w:hAnsi="仿宋" w:eastAsia="仿宋"/>
          <w:color w:val="000000"/>
          <w:sz w:val="28"/>
          <w:szCs w:val="28"/>
        </w:rPr>
      </w:pPr>
      <w:r>
        <w:rPr>
          <w:rFonts w:ascii="仿宋" w:hAnsi="仿宋" w:eastAsia="仿宋"/>
          <w:color w:val="000000"/>
          <w:sz w:val="28"/>
          <w:szCs w:val="28"/>
        </w:rPr>
        <w:t>2010年2月22日，原卫生部发布了</w:t>
      </w:r>
      <w:r>
        <w:rPr>
          <w:rFonts w:ascii="仿宋" w:hAnsi="仿宋" w:eastAsia="仿宋"/>
          <w:b/>
          <w:color w:val="000000"/>
          <w:sz w:val="28"/>
          <w:szCs w:val="28"/>
        </w:rPr>
        <w:t>《电子病历</w:t>
      </w:r>
      <w:r>
        <w:rPr>
          <w:rFonts w:hint="eastAsia" w:ascii="仿宋" w:hAnsi="仿宋" w:eastAsia="仿宋"/>
          <w:b/>
          <w:color w:val="000000"/>
          <w:sz w:val="28"/>
          <w:szCs w:val="28"/>
        </w:rPr>
        <w:t>应用</w:t>
      </w:r>
      <w:r>
        <w:rPr>
          <w:rFonts w:ascii="仿宋" w:hAnsi="仿宋" w:eastAsia="仿宋"/>
          <w:b/>
          <w:color w:val="000000"/>
          <w:sz w:val="28"/>
          <w:szCs w:val="28"/>
        </w:rPr>
        <w:t>规范（试行）》</w:t>
      </w:r>
      <w:r>
        <w:rPr>
          <w:rFonts w:ascii="仿宋" w:hAnsi="仿宋" w:eastAsia="仿宋"/>
          <w:color w:val="000000"/>
          <w:sz w:val="28"/>
          <w:szCs w:val="28"/>
        </w:rPr>
        <w:t>，对医院电子病历的建立、使用、保存和管理进行规定。</w:t>
      </w:r>
    </w:p>
    <w:p>
      <w:pPr>
        <w:pStyle w:val="19"/>
        <w:spacing w:before="93"/>
        <w:ind w:firstLine="560"/>
        <w:rPr>
          <w:rFonts w:ascii="仿宋" w:hAnsi="仿宋" w:eastAsia="仿宋"/>
          <w:color w:val="000000"/>
          <w:sz w:val="28"/>
          <w:szCs w:val="28"/>
        </w:rPr>
      </w:pPr>
      <w:r>
        <w:rPr>
          <w:rFonts w:ascii="仿宋" w:hAnsi="仿宋" w:eastAsia="仿宋"/>
          <w:color w:val="000000"/>
          <w:sz w:val="28"/>
          <w:szCs w:val="28"/>
        </w:rPr>
        <w:t>2010年1月7日</w:t>
      </w:r>
      <w:r>
        <w:rPr>
          <w:rFonts w:hint="eastAsia" w:ascii="仿宋" w:hAnsi="仿宋" w:eastAsia="仿宋"/>
          <w:color w:val="000000"/>
          <w:sz w:val="28"/>
          <w:szCs w:val="28"/>
        </w:rPr>
        <w:t>，</w:t>
      </w:r>
      <w:r>
        <w:rPr>
          <w:rFonts w:ascii="仿宋" w:hAnsi="仿宋" w:eastAsia="仿宋"/>
          <w:color w:val="000000"/>
          <w:sz w:val="28"/>
          <w:szCs w:val="28"/>
        </w:rPr>
        <w:t>原卫生部发布了</w:t>
      </w:r>
      <w:r>
        <w:rPr>
          <w:rFonts w:ascii="仿宋" w:hAnsi="仿宋" w:eastAsia="仿宋"/>
          <w:b/>
          <w:color w:val="000000"/>
          <w:sz w:val="28"/>
          <w:szCs w:val="28"/>
        </w:rPr>
        <w:t>《卫生系统电子认证服务管理办法（试行）》</w:t>
      </w:r>
      <w:r>
        <w:rPr>
          <w:rFonts w:ascii="仿宋" w:hAnsi="仿宋" w:eastAsia="仿宋"/>
          <w:color w:val="000000"/>
          <w:sz w:val="28"/>
          <w:szCs w:val="28"/>
        </w:rPr>
        <w:t>，从行业角度提出使用电子认证服务保障卫生信息系统安全，满足卫生信息系统在身份认证、授权管理、责任认定等方面的信息安全需求。</w:t>
      </w:r>
    </w:p>
    <w:p>
      <w:pPr>
        <w:pStyle w:val="19"/>
        <w:spacing w:before="93"/>
        <w:ind w:firstLine="560"/>
        <w:rPr>
          <w:rFonts w:ascii="仿宋" w:hAnsi="仿宋" w:eastAsia="仿宋"/>
          <w:color w:val="000000"/>
          <w:sz w:val="28"/>
          <w:szCs w:val="28"/>
        </w:rPr>
      </w:pPr>
      <w:r>
        <w:rPr>
          <w:rFonts w:ascii="仿宋" w:hAnsi="仿宋" w:eastAsia="仿宋"/>
          <w:color w:val="000000"/>
          <w:sz w:val="28"/>
          <w:szCs w:val="28"/>
        </w:rPr>
        <w:t>2010年5月7日</w:t>
      </w:r>
      <w:r>
        <w:rPr>
          <w:rFonts w:hint="eastAsia" w:ascii="仿宋" w:hAnsi="仿宋" w:eastAsia="仿宋"/>
          <w:color w:val="000000"/>
          <w:sz w:val="28"/>
          <w:szCs w:val="28"/>
        </w:rPr>
        <w:t>，</w:t>
      </w:r>
      <w:r>
        <w:rPr>
          <w:rFonts w:ascii="仿宋" w:hAnsi="仿宋" w:eastAsia="仿宋"/>
          <w:color w:val="000000"/>
          <w:sz w:val="28"/>
          <w:szCs w:val="28"/>
        </w:rPr>
        <w:t>原卫生部发布了《卫生部办公厅关于做好卫生系统电子认证服务体系建设工作的通知》，制定了</w:t>
      </w:r>
      <w:r>
        <w:rPr>
          <w:rFonts w:ascii="仿宋" w:hAnsi="仿宋" w:eastAsia="仿宋"/>
          <w:b/>
          <w:color w:val="000000"/>
          <w:sz w:val="28"/>
          <w:szCs w:val="28"/>
        </w:rPr>
        <w:t>《卫生系统电子认证服务规范（试行）》</w:t>
      </w:r>
      <w:r>
        <w:rPr>
          <w:rFonts w:ascii="仿宋" w:hAnsi="仿宋" w:eastAsia="仿宋"/>
          <w:color w:val="000000"/>
          <w:sz w:val="28"/>
          <w:szCs w:val="28"/>
        </w:rPr>
        <w:t>等五个电子认证服务技术规范，研究部署在全国卫生系统推广电子认证服务应用。</w:t>
      </w:r>
    </w:p>
    <w:p>
      <w:pPr>
        <w:pStyle w:val="19"/>
        <w:spacing w:before="93"/>
        <w:ind w:firstLine="560"/>
        <w:rPr>
          <w:rFonts w:ascii="仿宋" w:hAnsi="仿宋" w:eastAsia="仿宋"/>
          <w:color w:val="000000"/>
          <w:sz w:val="28"/>
          <w:szCs w:val="28"/>
        </w:rPr>
      </w:pPr>
      <w:r>
        <w:rPr>
          <w:rFonts w:hint="eastAsia" w:ascii="仿宋" w:hAnsi="仿宋" w:eastAsia="仿宋"/>
          <w:color w:val="000000"/>
          <w:sz w:val="28"/>
          <w:szCs w:val="28"/>
        </w:rPr>
        <w:t>2017年2月15日，国家卫生计生委办公厅和国家中医药管理局办公室发布</w:t>
      </w:r>
      <w:r>
        <w:rPr>
          <w:rFonts w:hint="eastAsia" w:ascii="仿宋" w:hAnsi="仿宋" w:eastAsia="仿宋"/>
          <w:b/>
          <w:color w:val="000000"/>
          <w:sz w:val="28"/>
          <w:szCs w:val="28"/>
        </w:rPr>
        <w:t>《电子病历应用管理规范（试行）》</w:t>
      </w:r>
      <w:r>
        <w:rPr>
          <w:rFonts w:hint="eastAsia" w:ascii="仿宋" w:hAnsi="仿宋" w:eastAsia="仿宋"/>
          <w:color w:val="000000"/>
          <w:sz w:val="28"/>
          <w:szCs w:val="28"/>
        </w:rPr>
        <w:t>明确了“电子病历”的法律地位，也明确了电子病历有关要求与电子签名法的衔接关系。</w:t>
      </w:r>
    </w:p>
    <w:p>
      <w:pPr>
        <w:ind w:firstLine="560" w:firstLineChars="200"/>
        <w:rPr>
          <w:rFonts w:hint="eastAsia" w:ascii="仿宋" w:hAnsi="仿宋" w:eastAsia="仿宋"/>
          <w:sz w:val="28"/>
          <w:szCs w:val="28"/>
        </w:rPr>
      </w:pPr>
      <w:r>
        <w:rPr>
          <w:rFonts w:ascii="仿宋" w:hAnsi="仿宋" w:eastAsia="仿宋"/>
          <w:color w:val="000000"/>
          <w:sz w:val="28"/>
          <w:szCs w:val="28"/>
        </w:rPr>
        <w:t>为更好的推进</w:t>
      </w:r>
      <w:r>
        <w:rPr>
          <w:rFonts w:hint="eastAsia" w:ascii="仿宋" w:hAnsi="仿宋" w:eastAsia="仿宋"/>
          <w:color w:val="000000"/>
          <w:sz w:val="28"/>
          <w:szCs w:val="28"/>
        </w:rPr>
        <w:t>医院</w:t>
      </w:r>
      <w:r>
        <w:rPr>
          <w:rFonts w:ascii="仿宋" w:hAnsi="仿宋" w:eastAsia="仿宋"/>
          <w:color w:val="000000"/>
          <w:sz w:val="28"/>
          <w:szCs w:val="28"/>
        </w:rPr>
        <w:t>的信息化发展，切实保障信息系统安全，依据《中华人民共和国电子签名法》及相关标准规范要求等，引入电子认证服务，基于电子签名技术助推医院病历的无纸化进程。</w:t>
      </w:r>
    </w:p>
    <w:p>
      <w:pPr>
        <w:pStyle w:val="2"/>
        <w:rPr>
          <w:rFonts w:hint="default"/>
          <w:b/>
          <w:bCs/>
          <w:sz w:val="28"/>
          <w:szCs w:val="28"/>
          <w:lang w:val="en-US" w:eastAsia="zh-CN"/>
        </w:rPr>
      </w:pPr>
      <w:r>
        <w:rPr>
          <w:rFonts w:hint="eastAsia"/>
          <w:b/>
          <w:bCs/>
          <w:sz w:val="28"/>
          <w:szCs w:val="28"/>
          <w:lang w:val="en-US" w:eastAsia="zh-CN"/>
        </w:rPr>
        <w:t>二、功能要求</w:t>
      </w:r>
    </w:p>
    <w:p>
      <w:pPr>
        <w:pStyle w:val="5"/>
        <w:numPr>
          <w:ilvl w:val="0"/>
          <w:numId w:val="2"/>
        </w:numPr>
        <w:tabs>
          <w:tab w:val="left" w:pos="576"/>
        </w:tabs>
        <w:snapToGrid w:val="0"/>
        <w:spacing w:before="156" w:beforeLines="50" w:after="0" w:line="360" w:lineRule="auto"/>
        <w:jc w:val="left"/>
        <w:rPr>
          <w:rFonts w:ascii="仿宋" w:hAnsi="仿宋" w:eastAsia="仿宋"/>
          <w:color w:val="000000"/>
          <w:sz w:val="28"/>
          <w:szCs w:val="28"/>
        </w:rPr>
      </w:pPr>
      <w:bookmarkStart w:id="0" w:name="_Toc25777"/>
      <w:bookmarkStart w:id="1" w:name="_Toc520887779"/>
      <w:r>
        <w:rPr>
          <w:rFonts w:hint="eastAsia" w:ascii="仿宋" w:hAnsi="仿宋" w:eastAsia="仿宋"/>
          <w:color w:val="000000"/>
          <w:sz w:val="28"/>
          <w:szCs w:val="28"/>
        </w:rPr>
        <w:t>实现</w:t>
      </w:r>
      <w:r>
        <w:rPr>
          <w:rFonts w:ascii="仿宋" w:hAnsi="仿宋" w:eastAsia="仿宋"/>
          <w:color w:val="000000"/>
          <w:sz w:val="28"/>
          <w:szCs w:val="28"/>
        </w:rPr>
        <w:t>移动终端</w:t>
      </w:r>
      <w:r>
        <w:rPr>
          <w:rFonts w:hint="eastAsia" w:ascii="仿宋" w:hAnsi="仿宋" w:eastAsia="仿宋"/>
          <w:color w:val="000000"/>
          <w:sz w:val="28"/>
          <w:szCs w:val="28"/>
        </w:rPr>
        <w:t>的</w:t>
      </w:r>
      <w:r>
        <w:rPr>
          <w:rFonts w:ascii="仿宋" w:hAnsi="仿宋" w:eastAsia="仿宋"/>
          <w:color w:val="000000"/>
          <w:sz w:val="28"/>
          <w:szCs w:val="28"/>
        </w:rPr>
        <w:t>CA应用</w:t>
      </w:r>
      <w:bookmarkEnd w:id="0"/>
      <w:bookmarkEnd w:id="1"/>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使用合规的移动签名</w:t>
      </w:r>
      <w:r>
        <w:rPr>
          <w:rFonts w:ascii="仿宋" w:hAnsi="仿宋" w:eastAsia="仿宋"/>
          <w:color w:val="000000"/>
          <w:sz w:val="28"/>
          <w:szCs w:val="28"/>
        </w:rPr>
        <w:t>技术，</w:t>
      </w:r>
      <w:r>
        <w:rPr>
          <w:rFonts w:hint="eastAsia" w:ascii="仿宋" w:hAnsi="仿宋" w:eastAsia="仿宋"/>
          <w:color w:val="000000"/>
          <w:sz w:val="28"/>
          <w:szCs w:val="28"/>
        </w:rPr>
        <w:t>实现移动查房等业务中</w:t>
      </w:r>
      <w:r>
        <w:rPr>
          <w:rFonts w:ascii="仿宋" w:hAnsi="仿宋" w:eastAsia="仿宋"/>
          <w:color w:val="000000"/>
          <w:sz w:val="28"/>
          <w:szCs w:val="28"/>
        </w:rPr>
        <w:t>的移动端</w:t>
      </w:r>
      <w:r>
        <w:rPr>
          <w:rFonts w:hint="eastAsia" w:ascii="仿宋" w:hAnsi="仿宋" w:eastAsia="仿宋"/>
          <w:color w:val="000000"/>
          <w:sz w:val="28"/>
          <w:szCs w:val="28"/>
        </w:rPr>
        <w:t>强身份认证和数据抗抵赖性需求，提升CA的应用便捷程度以及适用范围。</w:t>
      </w:r>
    </w:p>
    <w:p>
      <w:pPr>
        <w:pStyle w:val="5"/>
        <w:numPr>
          <w:ilvl w:val="0"/>
          <w:numId w:val="2"/>
        </w:numPr>
        <w:tabs>
          <w:tab w:val="left" w:pos="576"/>
        </w:tabs>
        <w:snapToGrid w:val="0"/>
        <w:spacing w:before="156" w:beforeLines="50" w:after="0" w:line="360" w:lineRule="auto"/>
        <w:jc w:val="left"/>
        <w:rPr>
          <w:rFonts w:ascii="仿宋" w:hAnsi="仿宋" w:eastAsia="仿宋"/>
          <w:color w:val="000000"/>
          <w:sz w:val="28"/>
          <w:szCs w:val="28"/>
        </w:rPr>
      </w:pPr>
      <w:bookmarkStart w:id="2" w:name="_Toc4077"/>
      <w:r>
        <w:rPr>
          <w:rFonts w:hint="eastAsia" w:ascii="仿宋" w:hAnsi="仿宋" w:eastAsia="仿宋"/>
          <w:color w:val="000000"/>
          <w:sz w:val="28"/>
          <w:szCs w:val="28"/>
        </w:rPr>
        <w:t>实现</w:t>
      </w:r>
      <w:r>
        <w:rPr>
          <w:rFonts w:ascii="仿宋" w:hAnsi="仿宋" w:eastAsia="仿宋"/>
          <w:color w:val="000000"/>
          <w:sz w:val="28"/>
          <w:szCs w:val="28"/>
        </w:rPr>
        <w:t>患者手写电子签名</w:t>
      </w:r>
      <w:bookmarkEnd w:id="2"/>
    </w:p>
    <w:p>
      <w:pPr>
        <w:spacing w:line="360" w:lineRule="auto"/>
        <w:ind w:firstLine="560" w:firstLineChars="200"/>
        <w:rPr>
          <w:rFonts w:ascii="仿宋" w:hAnsi="仿宋" w:eastAsia="仿宋"/>
          <w:color w:val="000000"/>
          <w:sz w:val="28"/>
          <w:szCs w:val="28"/>
        </w:rPr>
      </w:pPr>
      <w:r>
        <w:rPr>
          <w:rFonts w:ascii="仿宋" w:hAnsi="仿宋" w:eastAsia="仿宋"/>
          <w:color w:val="000000"/>
          <w:sz w:val="28"/>
          <w:szCs w:val="28"/>
        </w:rPr>
        <w:t>使用可信的手写数字签名技术解决患者电子签名问题，实现知情同意书无纸化，保障电子知情同意书的合法可信。</w:t>
      </w:r>
    </w:p>
    <w:p>
      <w:pPr>
        <w:pStyle w:val="5"/>
        <w:numPr>
          <w:ilvl w:val="0"/>
          <w:numId w:val="2"/>
        </w:numPr>
        <w:tabs>
          <w:tab w:val="left" w:pos="576"/>
        </w:tabs>
        <w:snapToGrid w:val="0"/>
        <w:spacing w:before="156" w:beforeLines="50" w:after="0" w:line="360" w:lineRule="auto"/>
        <w:jc w:val="left"/>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医护技人员证书</w:t>
      </w:r>
    </w:p>
    <w:p>
      <w:pPr>
        <w:ind w:firstLine="280" w:firstLineChars="100"/>
        <w:rPr>
          <w:rFonts w:ascii="仿宋" w:hAnsi="仿宋" w:eastAsia="仿宋"/>
          <w:color w:val="000000"/>
          <w:sz w:val="28"/>
          <w:szCs w:val="28"/>
        </w:rPr>
      </w:pPr>
      <w:r>
        <w:rPr>
          <w:rFonts w:hint="eastAsia" w:ascii="仿宋" w:hAnsi="仿宋" w:eastAsia="仿宋"/>
          <w:color w:val="000000"/>
          <w:sz w:val="28"/>
          <w:szCs w:val="28"/>
        </w:rPr>
        <w:t>通过为医生、护士等群体颁发数字证书，并应用数字签名、时间戳、电子签章等技术方案，实现了医疗工作者的无纸化签名应用。</w:t>
      </w:r>
    </w:p>
    <w:p>
      <w:pPr>
        <w:ind w:firstLine="280" w:firstLineChars="100"/>
        <w:rPr>
          <w:rFonts w:hint="eastAsia" w:ascii="仿宋" w:hAnsi="仿宋" w:eastAsia="仿宋"/>
          <w:color w:val="000000"/>
          <w:sz w:val="28"/>
          <w:szCs w:val="28"/>
        </w:rPr>
      </w:pPr>
      <w:r>
        <w:rPr>
          <w:rFonts w:hint="eastAsia" w:ascii="仿宋" w:hAnsi="仿宋" w:eastAsia="仿宋"/>
          <w:color w:val="000000"/>
          <w:sz w:val="28"/>
          <w:szCs w:val="28"/>
        </w:rPr>
        <w:t>内容包括：医嘱、病程记录、检查报告、住院记录书等相关医技护人员的电子数据。</w:t>
      </w:r>
    </w:p>
    <w:p>
      <w:pPr>
        <w:ind w:firstLine="280" w:firstLineChars="100"/>
        <w:rPr>
          <w:rFonts w:ascii="仿宋" w:hAnsi="仿宋" w:eastAsia="仿宋"/>
          <w:color w:val="000000"/>
          <w:sz w:val="28"/>
          <w:szCs w:val="28"/>
        </w:rPr>
      </w:pPr>
      <w:r>
        <w:rPr>
          <w:rFonts w:hint="eastAsia" w:ascii="仿宋" w:hAnsi="仿宋" w:eastAsia="仿宋"/>
          <w:color w:val="000000"/>
          <w:sz w:val="28"/>
          <w:szCs w:val="28"/>
        </w:rPr>
        <w:t>医技护电子签名应用，是医院电子签名应用建设的基础。分布实施内容中包括对于数字证书生命周期管理以及移动电子签名应用的实现步骤建议。</w:t>
      </w:r>
    </w:p>
    <w:p>
      <w:pPr>
        <w:pStyle w:val="2"/>
        <w:rPr>
          <w:rFonts w:hint="eastAsia"/>
          <w:b/>
          <w:bCs/>
          <w:sz w:val="28"/>
          <w:szCs w:val="28"/>
          <w:lang w:val="en-US" w:eastAsia="zh-CN"/>
        </w:rPr>
      </w:pPr>
      <w:r>
        <w:rPr>
          <w:rFonts w:hint="eastAsia"/>
          <w:b/>
          <w:bCs/>
          <w:sz w:val="28"/>
          <w:szCs w:val="28"/>
          <w:lang w:val="en-US" w:eastAsia="zh-CN"/>
        </w:rPr>
        <w:t>三、软硬件配置及数量</w:t>
      </w:r>
    </w:p>
    <w:p>
      <w:pPr>
        <w:pStyle w:val="5"/>
        <w:numPr>
          <w:ilvl w:val="0"/>
          <w:numId w:val="3"/>
        </w:numPr>
        <w:tabs>
          <w:tab w:val="left" w:pos="576"/>
        </w:tabs>
        <w:snapToGrid w:val="0"/>
        <w:spacing w:before="156" w:beforeLines="50" w:after="0" w:line="360" w:lineRule="auto"/>
        <w:jc w:val="lef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移动签名系统 1套</w:t>
      </w:r>
    </w:p>
    <w:p>
      <w:pPr>
        <w:ind w:firstLine="280" w:firstLineChars="100"/>
        <w:rPr>
          <w:rFonts w:hint="default" w:ascii="仿宋" w:hAnsi="仿宋" w:eastAsia="仿宋"/>
          <w:color w:val="000000"/>
          <w:sz w:val="28"/>
          <w:szCs w:val="28"/>
          <w:lang w:val="en-US" w:eastAsia="zh-CN"/>
        </w:rPr>
      </w:pPr>
      <w:r>
        <w:rPr>
          <w:rFonts w:hint="default" w:ascii="仿宋" w:hAnsi="仿宋" w:eastAsia="仿宋"/>
          <w:color w:val="000000"/>
          <w:sz w:val="28"/>
          <w:szCs w:val="28"/>
          <w:lang w:val="en-US" w:eastAsia="zh-CN"/>
        </w:rPr>
        <w:t>基于移动终端和服务器端协同签运算的签名产品，为用户提供基于智能移动终端的用户证书管理、验证ukey签名，支持身份认证、扫码认证、电子签名、扫码签名、扫码签章等服务。</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支持Java、C、COM、WebService应用接口</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支持3DES、AES、RSA、SM2等算法标准</w:t>
      </w:r>
    </w:p>
    <w:p>
      <w:pPr>
        <w:pStyle w:val="3"/>
        <w:rPr>
          <w:rFonts w:hint="default" w:ascii="仿宋" w:hAnsi="仿宋" w:eastAsia="仿宋" w:cs="Calibri"/>
          <w:color w:val="000000"/>
          <w:kern w:val="2"/>
          <w:sz w:val="28"/>
          <w:szCs w:val="28"/>
          <w:lang w:val="en-US" w:eastAsia="zh-CN" w:bidi="ar-SA"/>
        </w:rPr>
      </w:pPr>
      <w:r>
        <w:rPr>
          <w:rFonts w:hint="default" w:ascii="仿宋" w:hAnsi="仿宋" w:eastAsia="仿宋" w:cs="Calibri"/>
          <w:color w:val="000000"/>
          <w:kern w:val="2"/>
          <w:sz w:val="28"/>
          <w:szCs w:val="28"/>
          <w:lang w:val="en-US" w:eastAsia="zh-CN" w:bidi="ar-SA"/>
        </w:rPr>
        <w:t>性能参数：最大用户数：1500；SM2协同签名5000TPS。</w:t>
      </w:r>
    </w:p>
    <w:p>
      <w:pPr>
        <w:pStyle w:val="5"/>
        <w:numPr>
          <w:ilvl w:val="0"/>
          <w:numId w:val="3"/>
        </w:numPr>
        <w:tabs>
          <w:tab w:val="left" w:pos="576"/>
        </w:tabs>
        <w:snapToGrid w:val="0"/>
        <w:spacing w:before="156" w:beforeLines="50" w:after="0" w:line="360" w:lineRule="auto"/>
        <w:jc w:val="lef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手写签名系统 1套</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 用于实现患者知情文书的文件的无纸化签署，手写数字签名系统软件，用于实现数据采集、数据格式处理、手写数字签名、签名验证、数据交付等功能</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支持的应用环境Windows server2000/2003/2008;Linux;Unix</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提供C、Java等主流开发API</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业务处理能力不小于100000笔/小时</w:t>
      </w:r>
    </w:p>
    <w:p>
      <w:pPr>
        <w:pStyle w:val="5"/>
        <w:numPr>
          <w:ilvl w:val="0"/>
          <w:numId w:val="3"/>
        </w:numPr>
        <w:tabs>
          <w:tab w:val="left" w:pos="576"/>
        </w:tabs>
        <w:snapToGrid w:val="0"/>
        <w:spacing w:before="156" w:beforeLines="50" w:after="0" w:line="360" w:lineRule="auto"/>
        <w:jc w:val="both"/>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手写签名终端  50  台</w:t>
      </w:r>
    </w:p>
    <w:p>
      <w:pPr>
        <w:ind w:firstLine="280" w:firstLineChars="100"/>
        <w:rPr>
          <w:rFonts w:hint="default" w:ascii="仿宋" w:hAnsi="仿宋" w:eastAsia="仿宋"/>
          <w:color w:val="000000"/>
          <w:sz w:val="28"/>
          <w:szCs w:val="28"/>
          <w:lang w:val="en-US" w:eastAsia="zh-CN"/>
        </w:rPr>
      </w:pPr>
      <w:r>
        <w:rPr>
          <w:rFonts w:hint="default" w:ascii="仿宋" w:hAnsi="仿宋" w:eastAsia="仿宋"/>
          <w:color w:val="000000"/>
          <w:sz w:val="28"/>
          <w:szCs w:val="28"/>
          <w:lang w:val="en-US" w:eastAsia="zh-CN"/>
        </w:rPr>
        <w:t>10.1寸液晶电磁压感手写屏，内置指纹模块，支持手写签名同时采集签名人指纹数据。</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内置密码芯片，支持国产密码算法</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兼容性：windows XP/vista/win7/win8/win10</w:t>
      </w:r>
    </w:p>
    <w:p>
      <w:pPr>
        <w:pStyle w:val="5"/>
        <w:numPr>
          <w:ilvl w:val="0"/>
          <w:numId w:val="3"/>
        </w:numPr>
        <w:tabs>
          <w:tab w:val="left" w:pos="576"/>
        </w:tabs>
        <w:snapToGrid w:val="0"/>
        <w:spacing w:before="156" w:beforeLines="50" w:after="0" w:line="360" w:lineRule="auto"/>
        <w:jc w:val="both"/>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手写签名终端认证服务费 50  </w:t>
      </w:r>
    </w:p>
    <w:p>
      <w:pPr>
        <w:ind w:firstLine="280" w:firstLineChars="100"/>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为患者手写签名板的手写签名服务，按年度进行数字签名认证服务，保障患者签名的合法性和可信性。</w:t>
      </w:r>
    </w:p>
    <w:p>
      <w:pPr>
        <w:pStyle w:val="5"/>
        <w:numPr>
          <w:ilvl w:val="0"/>
          <w:numId w:val="3"/>
        </w:numPr>
        <w:tabs>
          <w:tab w:val="left" w:pos="576"/>
        </w:tabs>
        <w:snapToGrid w:val="0"/>
        <w:spacing w:before="156" w:beforeLines="50" w:after="0" w:line="360" w:lineRule="auto"/>
        <w:jc w:val="both"/>
        <w:rPr>
          <w:rFonts w:hint="eastAsia" w:ascii="仿宋" w:hAnsi="仿宋" w:eastAsia="仿宋"/>
          <w:color w:val="000000"/>
          <w:sz w:val="28"/>
          <w:szCs w:val="28"/>
          <w:lang w:val="en-US" w:eastAsia="zh-CN"/>
        </w:rPr>
      </w:pPr>
      <w:r>
        <w:rPr>
          <w:rFonts w:hint="default" w:ascii="仿宋" w:hAnsi="仿宋" w:eastAsia="仿宋"/>
          <w:color w:val="000000"/>
          <w:sz w:val="28"/>
          <w:szCs w:val="28"/>
          <w:lang w:val="en-US" w:eastAsia="zh-CN"/>
        </w:rPr>
        <w:t>智能密码钥匙</w:t>
      </w:r>
      <w:r>
        <w:rPr>
          <w:rFonts w:hint="eastAsia" w:ascii="仿宋" w:hAnsi="仿宋" w:eastAsia="仿宋"/>
          <w:color w:val="000000"/>
          <w:sz w:val="28"/>
          <w:szCs w:val="28"/>
          <w:lang w:val="en-US" w:eastAsia="zh-CN"/>
        </w:rPr>
        <w:t xml:space="preserve">   300  套</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USBKey容量≥64K字节</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支持国产密码算法</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支持硬件真随机数发生器</w:t>
      </w:r>
    </w:p>
    <w:p>
      <w:pPr>
        <w:pStyle w:val="5"/>
        <w:numPr>
          <w:ilvl w:val="0"/>
          <w:numId w:val="3"/>
        </w:numPr>
        <w:tabs>
          <w:tab w:val="left" w:pos="576"/>
        </w:tabs>
        <w:snapToGrid w:val="0"/>
        <w:spacing w:before="156" w:beforeLines="50" w:after="0" w:line="360" w:lineRule="auto"/>
        <w:jc w:val="both"/>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个人数字证书   1000张</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标识个人用户网络身份</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符合卫生部《卫生系统数字证书格式规范（试行）》</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符合卫生部《卫生系统电子认证服务规范（试行）》</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证书格式标准遵循x．509v3标准</w:t>
      </w:r>
    </w:p>
    <w:p>
      <w:pPr>
        <w:pStyle w:val="5"/>
        <w:numPr>
          <w:ilvl w:val="0"/>
          <w:numId w:val="3"/>
        </w:numPr>
        <w:tabs>
          <w:tab w:val="left" w:pos="576"/>
        </w:tabs>
        <w:snapToGrid w:val="0"/>
        <w:spacing w:before="156" w:beforeLines="50" w:after="0" w:line="360" w:lineRule="auto"/>
        <w:jc w:val="both"/>
        <w:rPr>
          <w:rFonts w:hint="eastAsia" w:ascii="仿宋" w:hAnsi="仿宋" w:eastAsia="仿宋"/>
          <w:color w:val="000000"/>
          <w:sz w:val="28"/>
          <w:szCs w:val="28"/>
          <w:lang w:val="en-US" w:eastAsia="zh-CN"/>
        </w:rPr>
      </w:pPr>
      <w:r>
        <w:rPr>
          <w:rFonts w:hint="default" w:ascii="仿宋" w:hAnsi="仿宋" w:eastAsia="仿宋"/>
          <w:color w:val="000000"/>
          <w:sz w:val="28"/>
          <w:szCs w:val="28"/>
          <w:lang w:val="en-US" w:eastAsia="zh-CN"/>
        </w:rPr>
        <w:t>设备证书</w:t>
      </w:r>
      <w:r>
        <w:rPr>
          <w:rFonts w:hint="eastAsia" w:ascii="仿宋" w:hAnsi="仿宋" w:eastAsia="仿宋"/>
          <w:color w:val="000000"/>
          <w:sz w:val="28"/>
          <w:szCs w:val="28"/>
          <w:lang w:val="en-US" w:eastAsia="zh-CN"/>
        </w:rPr>
        <w:t xml:space="preserve">  2 张</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标识设备网络身份</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符合卫生部《卫生系统数字证书格式规范（试行）》</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符合卫生部《卫生系统电子认证服务规范（试行）》</w:t>
      </w:r>
    </w:p>
    <w:p>
      <w:pPr>
        <w:ind w:firstLine="280" w:firstLineChars="1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证书格式标准遵循x．509v3标准</w:t>
      </w:r>
    </w:p>
    <w:p>
      <w:pPr>
        <w:pStyle w:val="5"/>
        <w:numPr>
          <w:ilvl w:val="0"/>
          <w:numId w:val="3"/>
        </w:numPr>
        <w:tabs>
          <w:tab w:val="left" w:pos="576"/>
        </w:tabs>
        <w:snapToGrid w:val="0"/>
        <w:spacing w:before="156" w:beforeLines="50" w:after="0" w:line="360" w:lineRule="auto"/>
        <w:jc w:val="both"/>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系统集成 1 套</w:t>
      </w:r>
    </w:p>
    <w:p>
      <w:pPr>
        <w:ind w:firstLine="280" w:firstLineChars="100"/>
        <w:rPr>
          <w:rFonts w:hint="default" w:ascii="仿宋" w:hAnsi="仿宋" w:eastAsia="仿宋"/>
          <w:color w:val="000000"/>
          <w:sz w:val="28"/>
          <w:szCs w:val="28"/>
          <w:lang w:val="en-US" w:eastAsia="zh-CN"/>
        </w:rPr>
      </w:pPr>
      <w:r>
        <w:rPr>
          <w:rFonts w:hint="default" w:ascii="仿宋" w:hAnsi="仿宋" w:eastAsia="仿宋"/>
          <w:color w:val="000000"/>
          <w:sz w:val="28"/>
          <w:szCs w:val="28"/>
          <w:lang w:val="en-US" w:eastAsia="zh-CN"/>
        </w:rPr>
        <w:t>实现数字认证产品与医院业务系统的应用集成</w:t>
      </w:r>
      <w:r>
        <w:rPr>
          <w:rFonts w:hint="eastAsia" w:ascii="仿宋" w:hAnsi="仿宋" w:eastAsia="仿宋"/>
          <w:color w:val="000000"/>
          <w:sz w:val="28"/>
          <w:szCs w:val="28"/>
          <w:lang w:val="en-US" w:eastAsia="zh-CN"/>
        </w:rPr>
        <w:t>。</w:t>
      </w:r>
      <w:bookmarkStart w:id="3" w:name="_GoBack"/>
      <w:bookmarkEnd w:id="3"/>
    </w:p>
    <w:p>
      <w:pPr>
        <w:pStyle w:val="3"/>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50DD69"/>
    <w:multiLevelType w:val="multilevel"/>
    <w:tmpl w:val="EA50DD69"/>
    <w:lvl w:ilvl="0" w:tentative="0">
      <w:start w:val="1"/>
      <w:numFmt w:val="decimal"/>
      <w:pStyle w:val="4"/>
      <w:lvlText w:val="%1."/>
      <w:lvlJc w:val="left"/>
      <w:pPr>
        <w:tabs>
          <w:tab w:val="left" w:pos="113"/>
        </w:tabs>
        <w:ind w:left="0" w:firstLine="0"/>
      </w:pPr>
      <w:rPr>
        <w:rFonts w:hint="eastAsia"/>
      </w:rPr>
    </w:lvl>
    <w:lvl w:ilvl="1" w:tentative="0">
      <w:start w:val="1"/>
      <w:numFmt w:val="decimal"/>
      <w:pStyle w:val="5"/>
      <w:lvlText w:val="%1.%2"/>
      <w:lvlJc w:val="left"/>
      <w:pPr>
        <w:tabs>
          <w:tab w:val="left" w:pos="226"/>
        </w:tabs>
        <w:ind w:left="113" w:firstLine="0"/>
      </w:pPr>
      <w:rPr>
        <w:rFonts w:hint="eastAsia"/>
      </w:rPr>
    </w:lvl>
    <w:lvl w:ilvl="2" w:tentative="0">
      <w:start w:val="1"/>
      <w:numFmt w:val="decimal"/>
      <w:pStyle w:val="6"/>
      <w:lvlText w:val="%1.%2.%3"/>
      <w:lvlJc w:val="left"/>
      <w:pPr>
        <w:tabs>
          <w:tab w:val="left" w:pos="339"/>
        </w:tabs>
        <w:ind w:left="226" w:firstLine="0"/>
      </w:pPr>
      <w:rPr>
        <w:rFonts w:hint="eastAsia"/>
      </w:rPr>
    </w:lvl>
    <w:lvl w:ilvl="3" w:tentative="0">
      <w:start w:val="1"/>
      <w:numFmt w:val="decimal"/>
      <w:pStyle w:val="7"/>
      <w:lvlText w:val="%1.%2.%3.%4"/>
      <w:lvlJc w:val="left"/>
      <w:pPr>
        <w:tabs>
          <w:tab w:val="left" w:pos="452"/>
        </w:tabs>
        <w:ind w:left="339" w:firstLine="0"/>
      </w:pPr>
      <w:rPr>
        <w:rFonts w:hint="eastAsia"/>
      </w:rPr>
    </w:lvl>
    <w:lvl w:ilvl="4" w:tentative="0">
      <w:start w:val="1"/>
      <w:numFmt w:val="decimal"/>
      <w:pStyle w:val="8"/>
      <w:lvlText w:val="%1.%2.%3.%4.%5"/>
      <w:lvlJc w:val="left"/>
      <w:pPr>
        <w:tabs>
          <w:tab w:val="left" w:pos="565"/>
        </w:tabs>
        <w:ind w:left="452" w:firstLine="0"/>
      </w:pPr>
      <w:rPr>
        <w:rFonts w:hint="eastAsia"/>
      </w:rPr>
    </w:lvl>
    <w:lvl w:ilvl="5" w:tentative="0">
      <w:start w:val="1"/>
      <w:numFmt w:val="decimal"/>
      <w:pStyle w:val="9"/>
      <w:lvlText w:val="%1.%2.%3.%4.%5.%6"/>
      <w:lvlJc w:val="left"/>
      <w:pPr>
        <w:tabs>
          <w:tab w:val="left" w:pos="678"/>
        </w:tabs>
        <w:ind w:left="565" w:firstLine="0"/>
      </w:pPr>
      <w:rPr>
        <w:rFonts w:hint="eastAsia"/>
      </w:rPr>
    </w:lvl>
    <w:lvl w:ilvl="6" w:tentative="0">
      <w:start w:val="1"/>
      <w:numFmt w:val="decimal"/>
      <w:pStyle w:val="10"/>
      <w:lvlText w:val="%1.%2.%3.%4.%5.%6.%7"/>
      <w:lvlJc w:val="left"/>
      <w:pPr>
        <w:tabs>
          <w:tab w:val="left" w:pos="791"/>
        </w:tabs>
        <w:ind w:left="678" w:firstLine="0"/>
      </w:pPr>
      <w:rPr>
        <w:rFonts w:hint="eastAsia"/>
      </w:rPr>
    </w:lvl>
    <w:lvl w:ilvl="7" w:tentative="0">
      <w:start w:val="1"/>
      <w:numFmt w:val="decimal"/>
      <w:pStyle w:val="11"/>
      <w:lvlText w:val="%1.%2.%3.%4.%5.%6.%7.%8"/>
      <w:lvlJc w:val="left"/>
      <w:pPr>
        <w:tabs>
          <w:tab w:val="left" w:pos="904"/>
        </w:tabs>
        <w:ind w:left="791" w:firstLine="0"/>
      </w:pPr>
      <w:rPr>
        <w:rFonts w:hint="eastAsia"/>
      </w:rPr>
    </w:lvl>
    <w:lvl w:ilvl="8" w:tentative="0">
      <w:start w:val="1"/>
      <w:numFmt w:val="decimal"/>
      <w:pStyle w:val="12"/>
      <w:lvlText w:val="%1.%2.%3.%4.%5.%6.%7.%8.%9"/>
      <w:lvlJc w:val="left"/>
      <w:pPr>
        <w:tabs>
          <w:tab w:val="left" w:pos="1017"/>
        </w:tabs>
        <w:ind w:left="904" w:firstLine="0"/>
      </w:pPr>
      <w:rPr>
        <w:rFonts w:hint="eastAsia"/>
      </w:rPr>
    </w:lvl>
  </w:abstractNum>
  <w:abstractNum w:abstractNumId="1">
    <w:nsid w:val="11E37554"/>
    <w:multiLevelType w:val="multilevel"/>
    <w:tmpl w:val="11E37554"/>
    <w:lvl w:ilvl="0" w:tentative="0">
      <w:start w:val="1"/>
      <w:numFmt w:val="decimal"/>
      <w:lvlText w:val="%1."/>
      <w:lvlJc w:val="left"/>
      <w:pPr>
        <w:ind w:left="996" w:hanging="420"/>
      </w:pPr>
    </w:lvl>
    <w:lvl w:ilvl="1" w:tentative="0">
      <w:start w:val="1"/>
      <w:numFmt w:val="lowerLetter"/>
      <w:lvlText w:val="%2)"/>
      <w:lvlJc w:val="left"/>
      <w:pPr>
        <w:ind w:left="1416" w:hanging="420"/>
      </w:pPr>
    </w:lvl>
    <w:lvl w:ilvl="2" w:tentative="0">
      <w:start w:val="1"/>
      <w:numFmt w:val="lowerRoman"/>
      <w:lvlText w:val="%3."/>
      <w:lvlJc w:val="right"/>
      <w:pPr>
        <w:ind w:left="1836" w:hanging="420"/>
      </w:pPr>
    </w:lvl>
    <w:lvl w:ilvl="3" w:tentative="0">
      <w:start w:val="1"/>
      <w:numFmt w:val="decimal"/>
      <w:lvlText w:val="%4."/>
      <w:lvlJc w:val="left"/>
      <w:pPr>
        <w:ind w:left="2256" w:hanging="420"/>
      </w:pPr>
    </w:lvl>
    <w:lvl w:ilvl="4" w:tentative="0">
      <w:start w:val="1"/>
      <w:numFmt w:val="lowerLetter"/>
      <w:lvlText w:val="%5)"/>
      <w:lvlJc w:val="left"/>
      <w:pPr>
        <w:ind w:left="2676" w:hanging="420"/>
      </w:pPr>
    </w:lvl>
    <w:lvl w:ilvl="5" w:tentative="0">
      <w:start w:val="1"/>
      <w:numFmt w:val="lowerRoman"/>
      <w:lvlText w:val="%6."/>
      <w:lvlJc w:val="right"/>
      <w:pPr>
        <w:ind w:left="3096" w:hanging="420"/>
      </w:pPr>
    </w:lvl>
    <w:lvl w:ilvl="6" w:tentative="0">
      <w:start w:val="1"/>
      <w:numFmt w:val="decimal"/>
      <w:lvlText w:val="%7."/>
      <w:lvlJc w:val="left"/>
      <w:pPr>
        <w:ind w:left="3516" w:hanging="420"/>
      </w:pPr>
    </w:lvl>
    <w:lvl w:ilvl="7" w:tentative="0">
      <w:start w:val="1"/>
      <w:numFmt w:val="lowerLetter"/>
      <w:lvlText w:val="%8)"/>
      <w:lvlJc w:val="left"/>
      <w:pPr>
        <w:ind w:left="3936" w:hanging="420"/>
      </w:pPr>
    </w:lvl>
    <w:lvl w:ilvl="8" w:tentative="0">
      <w:start w:val="1"/>
      <w:numFmt w:val="lowerRoman"/>
      <w:lvlText w:val="%9."/>
      <w:lvlJc w:val="right"/>
      <w:pPr>
        <w:ind w:left="4356" w:hanging="420"/>
      </w:pPr>
    </w:lvl>
  </w:abstractNum>
  <w:abstractNum w:abstractNumId="2">
    <w:nsid w:val="4F152078"/>
    <w:multiLevelType w:val="multilevel"/>
    <w:tmpl w:val="4F152078"/>
    <w:lvl w:ilvl="0" w:tentative="0">
      <w:start w:val="1"/>
      <w:numFmt w:val="decimal"/>
      <w:lvlText w:val="%1."/>
      <w:lvlJc w:val="left"/>
      <w:pPr>
        <w:ind w:left="996" w:hanging="420"/>
      </w:pPr>
    </w:lvl>
    <w:lvl w:ilvl="1" w:tentative="0">
      <w:start w:val="1"/>
      <w:numFmt w:val="lowerLetter"/>
      <w:lvlText w:val="%2)"/>
      <w:lvlJc w:val="left"/>
      <w:pPr>
        <w:ind w:left="1416" w:hanging="420"/>
      </w:pPr>
    </w:lvl>
    <w:lvl w:ilvl="2" w:tentative="0">
      <w:start w:val="1"/>
      <w:numFmt w:val="lowerRoman"/>
      <w:lvlText w:val="%3."/>
      <w:lvlJc w:val="right"/>
      <w:pPr>
        <w:ind w:left="1836" w:hanging="420"/>
      </w:pPr>
    </w:lvl>
    <w:lvl w:ilvl="3" w:tentative="0">
      <w:start w:val="1"/>
      <w:numFmt w:val="decimal"/>
      <w:lvlText w:val="%4."/>
      <w:lvlJc w:val="left"/>
      <w:pPr>
        <w:ind w:left="2256" w:hanging="420"/>
      </w:pPr>
    </w:lvl>
    <w:lvl w:ilvl="4" w:tentative="0">
      <w:start w:val="1"/>
      <w:numFmt w:val="lowerLetter"/>
      <w:lvlText w:val="%5)"/>
      <w:lvlJc w:val="left"/>
      <w:pPr>
        <w:ind w:left="2676" w:hanging="420"/>
      </w:pPr>
    </w:lvl>
    <w:lvl w:ilvl="5" w:tentative="0">
      <w:start w:val="1"/>
      <w:numFmt w:val="lowerRoman"/>
      <w:lvlText w:val="%6."/>
      <w:lvlJc w:val="right"/>
      <w:pPr>
        <w:ind w:left="3096" w:hanging="420"/>
      </w:pPr>
    </w:lvl>
    <w:lvl w:ilvl="6" w:tentative="0">
      <w:start w:val="1"/>
      <w:numFmt w:val="decimal"/>
      <w:lvlText w:val="%7."/>
      <w:lvlJc w:val="left"/>
      <w:pPr>
        <w:ind w:left="3516" w:hanging="420"/>
      </w:pPr>
    </w:lvl>
    <w:lvl w:ilvl="7" w:tentative="0">
      <w:start w:val="1"/>
      <w:numFmt w:val="lowerLetter"/>
      <w:lvlText w:val="%8)"/>
      <w:lvlJc w:val="left"/>
      <w:pPr>
        <w:ind w:left="3936" w:hanging="420"/>
      </w:pPr>
    </w:lvl>
    <w:lvl w:ilvl="8" w:tentative="0">
      <w:start w:val="1"/>
      <w:numFmt w:val="lowerRoman"/>
      <w:lvlText w:val="%9."/>
      <w:lvlJc w:val="right"/>
      <w:pPr>
        <w:ind w:left="4356"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5A05C06"/>
    <w:rsid w:val="06C12E77"/>
    <w:rsid w:val="086B7820"/>
    <w:rsid w:val="0C1275E9"/>
    <w:rsid w:val="0D7172AE"/>
    <w:rsid w:val="187C7C2F"/>
    <w:rsid w:val="3366222A"/>
    <w:rsid w:val="3F5B5A10"/>
    <w:rsid w:val="490670B0"/>
    <w:rsid w:val="4A5B5556"/>
    <w:rsid w:val="4CE94C2E"/>
    <w:rsid w:val="7ED21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4">
    <w:name w:val="heading 1"/>
    <w:basedOn w:val="1"/>
    <w:next w:val="1"/>
    <w:link w:val="17"/>
    <w:qFormat/>
    <w:uiPriority w:val="0"/>
    <w:pPr>
      <w:keepNext/>
      <w:keepLines/>
      <w:numPr>
        <w:ilvl w:val="0"/>
        <w:numId w:val="1"/>
      </w:numPr>
      <w:ind w:left="0" w:firstLine="0"/>
      <w:jc w:val="left"/>
      <w:outlineLvl w:val="0"/>
    </w:pPr>
    <w:rPr>
      <w:rFonts w:ascii="Times New Roman" w:hAnsi="Times New Roman" w:eastAsia="宋体"/>
      <w:b/>
      <w:bCs/>
      <w:kern w:val="44"/>
      <w:sz w:val="30"/>
      <w:szCs w:val="44"/>
    </w:rPr>
  </w:style>
  <w:style w:type="paragraph" w:styleId="5">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113" w:firstLine="0"/>
      <w:outlineLvl w:val="1"/>
    </w:pPr>
    <w:rPr>
      <w:rFonts w:ascii="Arial" w:hAnsi="Arial" w:eastAsia="黑体"/>
      <w:b/>
      <w:sz w:val="32"/>
    </w:rPr>
  </w:style>
  <w:style w:type="paragraph" w:styleId="6">
    <w:name w:val="heading 3"/>
    <w:basedOn w:val="1"/>
    <w:next w:val="1"/>
    <w:link w:val="16"/>
    <w:semiHidden/>
    <w:unhideWhenUsed/>
    <w:qFormat/>
    <w:uiPriority w:val="0"/>
    <w:pPr>
      <w:keepNext/>
      <w:keepLines/>
      <w:numPr>
        <w:ilvl w:val="2"/>
        <w:numId w:val="1"/>
      </w:numPr>
      <w:spacing w:before="260" w:after="260" w:line="416" w:lineRule="auto"/>
      <w:ind w:left="226" w:firstLine="0"/>
      <w:outlineLvl w:val="2"/>
    </w:pPr>
    <w:rPr>
      <w:rFonts w:ascii="Times New Roman" w:hAnsi="Times New Roman" w:eastAsia="宋体"/>
      <w:b/>
      <w:bCs/>
      <w:sz w:val="24"/>
      <w:szCs w:val="32"/>
    </w:rPr>
  </w:style>
  <w:style w:type="paragraph" w:styleId="7">
    <w:name w:val="heading 4"/>
    <w:basedOn w:val="1"/>
    <w:next w:val="1"/>
    <w:link w:val="18"/>
    <w:semiHidden/>
    <w:unhideWhenUsed/>
    <w:qFormat/>
    <w:uiPriority w:val="0"/>
    <w:pPr>
      <w:numPr>
        <w:ilvl w:val="3"/>
        <w:numId w:val="1"/>
      </w:numPr>
      <w:ind w:firstLineChars="0"/>
      <w:outlineLvl w:val="3"/>
    </w:pPr>
    <w:rPr>
      <w:rFonts w:eastAsia="楷体" w:asciiTheme="minorAscii" w:hAnsiTheme="minorAscii"/>
      <w:sz w:val="28"/>
      <w:szCs w:val="22"/>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452" w:firstLine="0"/>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565" w:firstLine="0"/>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678" w:firstLine="0"/>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791" w:firstLine="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904" w:firstLine="0"/>
      <w:outlineLvl w:val="8"/>
    </w:pPr>
    <w:rPr>
      <w:rFonts w:ascii="Arial" w:hAnsi="Arial" w:eastAsia="黑体"/>
      <w:sz w:val="21"/>
    </w:rPr>
  </w:style>
  <w:style w:type="character" w:default="1" w:styleId="15">
    <w:name w:val="Default Paragraph Font"/>
    <w:semiHidden/>
    <w:unhideWhenUsed/>
    <w:qFormat/>
    <w:uiPriority w:val="1"/>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oc 2"/>
    <w:basedOn w:val="1"/>
    <w:next w:val="1"/>
    <w:unhideWhenUsed/>
    <w:qFormat/>
    <w:uiPriority w:val="39"/>
    <w:pPr>
      <w:widowControl/>
      <w:spacing w:after="100" w:line="276" w:lineRule="auto"/>
      <w:ind w:left="220"/>
      <w:jc w:val="left"/>
    </w:pPr>
    <w:rPr>
      <w:kern w:val="0"/>
      <w:sz w:val="22"/>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16">
    <w:name w:val="标题 3 Char"/>
    <w:basedOn w:val="15"/>
    <w:link w:val="6"/>
    <w:qFormat/>
    <w:uiPriority w:val="9"/>
    <w:rPr>
      <w:rFonts w:ascii="Times New Roman" w:hAnsi="Times New Roman" w:eastAsia="宋体" w:cstheme="minorBidi"/>
      <w:b/>
      <w:bCs/>
      <w:sz w:val="24"/>
    </w:rPr>
  </w:style>
  <w:style w:type="character" w:customStyle="1" w:styleId="17">
    <w:name w:val="标题 1 Char"/>
    <w:basedOn w:val="15"/>
    <w:link w:val="4"/>
    <w:qFormat/>
    <w:uiPriority w:val="9"/>
    <w:rPr>
      <w:rFonts w:ascii="Times New Roman" w:hAnsi="Times New Roman" w:eastAsia="宋体" w:cstheme="minorBidi"/>
      <w:b/>
      <w:bCs/>
      <w:kern w:val="44"/>
      <w:sz w:val="30"/>
      <w:szCs w:val="44"/>
    </w:rPr>
  </w:style>
  <w:style w:type="character" w:customStyle="1" w:styleId="18">
    <w:name w:val="标题 4 字符"/>
    <w:basedOn w:val="15"/>
    <w:link w:val="7"/>
    <w:qFormat/>
    <w:uiPriority w:val="9"/>
    <w:rPr>
      <w:rFonts w:eastAsia="楷体" w:asciiTheme="minorAscii" w:hAnsiTheme="minorAscii"/>
      <w:sz w:val="28"/>
      <w:szCs w:val="22"/>
    </w:rPr>
  </w:style>
  <w:style w:type="paragraph" w:customStyle="1" w:styleId="19">
    <w:name w:val="方案正文"/>
    <w:basedOn w:val="1"/>
    <w:qFormat/>
    <w:uiPriority w:val="0"/>
    <w:pPr>
      <w:snapToGrid w:val="0"/>
      <w:spacing w:line="360" w:lineRule="auto"/>
      <w:ind w:firstLine="200" w:firstLineChars="200"/>
    </w:pPr>
    <w:rPr>
      <w:rFonts w:ascii="华文细黑" w:hAnsi="华文细黑" w:eastAsia="微软雅黑"/>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1543</Words>
  <Characters>1699</Characters>
  <Lines>0</Lines>
  <Paragraphs>0</Paragraphs>
  <TotalTime>0</TotalTime>
  <ScaleCrop>false</ScaleCrop>
  <LinksUpToDate>false</LinksUpToDate>
  <CharactersWithSpaces>1724</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2022-09-01T06:02:00Z</dcterms:created>
  <dc:creator>Administrator</dc:creator>
  <cp:lastModifiedBy>江湖无我</cp:lastModifiedBy>
  <dcterms:modified xsi:type="dcterms:W3CDTF">2023-02-14T05:29:04Z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y fmtid="{D5CDD505-2E9C-101B-9397-08002B2CF9AE}" pid="3" name="ICV">
    <vt:lpwstr>7291ED3705D1421CB4CED0099E652950</vt:lpwstr>
  </property>
</Properties>
</file>