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FBEC24">
      <w:pPr>
        <w:pStyle w:val="4"/>
      </w:pPr>
      <w:r>
        <w:rPr>
          <w:rFonts w:hint="eastAsia"/>
        </w:rPr>
        <w:t>一、技术要求</w:t>
      </w:r>
    </w:p>
    <w:p w14:paraId="44CA32EE">
      <w:pPr>
        <w:pStyle w:val="5"/>
      </w:pPr>
      <w:r>
        <w:rPr>
          <w:rFonts w:hint="eastAsia"/>
        </w:rPr>
        <w:t>一、患者端功能</w:t>
      </w:r>
    </w:p>
    <w:p w14:paraId="08F4FD7A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1.用户须知</w:t>
      </w:r>
    </w:p>
    <w:p w14:paraId="52D8D57B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1.1内容展示</w:t>
      </w:r>
    </w:p>
    <w:p w14:paraId="28DEEA74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以清晰、易懂的方式展示用户须知的详细内容，包括申请流程、资料要求、隐私保护、违约责任等内容。</w:t>
      </w:r>
    </w:p>
    <w:p w14:paraId="0FF3340E">
      <w:pPr>
        <w:widowControl/>
        <w:numPr>
          <w:ilvl w:val="0"/>
          <w:numId w:val="1"/>
        </w:numPr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病案复印申请</w:t>
      </w:r>
    </w:p>
    <w:p w14:paraId="331F7581">
      <w:pPr>
        <w:widowControl/>
        <w:spacing w:line="360" w:lineRule="auto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2.1本人申请</w:t>
      </w:r>
    </w:p>
    <w:p w14:paraId="28E2B4F9">
      <w:pPr>
        <w:widowControl/>
        <w:spacing w:line="360" w:lineRule="auto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患者以自己名义申请病案复印时，需在系统中填写个人基本信息，如姓名、身份证号、联系方式等，以作身份验证。详细勾选所需复印的病案类型，如病历、检查报告等，并注明份数。完成信息填写后，要对对信息进行初步校验，确保必填项完整、格式正确。</w:t>
      </w:r>
    </w:p>
    <w:p w14:paraId="15E744B0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2.2代理人申请</w:t>
      </w:r>
    </w:p>
    <w:p w14:paraId="3DE7253A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当患者委托他人申请病案复印时，除需填写患者本人基本信息外，还需提供代理人的详细信息，包括姓名、身份证号、与患者的关系等。代理人需上传本人身份证照片及患者签署的授权委托书照片。系统要对上传的资料进行审核，确认无误后才会进入下一步流程。</w:t>
      </w:r>
    </w:p>
    <w:p w14:paraId="307F9D26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2.3资料上传</w:t>
      </w:r>
    </w:p>
    <w:p w14:paraId="6AA67135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患者需上传用于申请病案复印的相关资料，如身份证正反面照片、手持证件等。需支持多种常见图片格式的上传，且清晰度易识别。上传完成后，患者可通过预览界面检查是否存在遗漏或错误，如有问题可重新上传。</w:t>
      </w:r>
    </w:p>
    <w:p w14:paraId="5BF4C9F8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2.4交付方式选择</w:t>
      </w:r>
    </w:p>
    <w:p w14:paraId="5DC55232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患者可根据需求选择病案的交付方式，有自取和邮寄两种选项。若选择自取，需在系统中选择合适的自取时间和地点。若选择邮寄，需填写准确的收件地址、收件人姓名及联系电话。</w:t>
      </w:r>
    </w:p>
    <w:p w14:paraId="0793CCEA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2.5线上支付</w:t>
      </w:r>
    </w:p>
    <w:p w14:paraId="615C39C4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当患者的病案复印申请审核通过后，系统应根据复印的费用张数、份数等计算出具体费用，并展示费用明细。患者可选择线上支付方式完成缴费，支持银行卡、微信、支付宝等支付方式。支付订单状态信息要通知到患者。</w:t>
      </w:r>
    </w:p>
    <w:p w14:paraId="02D8A820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3.消息通知</w:t>
      </w:r>
    </w:p>
    <w:p w14:paraId="72AA0B94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3.1申请进度通知</w:t>
      </w:r>
    </w:p>
    <w:p w14:paraId="675AB10A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系统要向患者推送病案复印申请的进度信息。当申请提交成功、资料审核通过、正在复印、已完成复印等关键节点，都通过消息的方式通知患者。</w:t>
      </w:r>
    </w:p>
    <w:p w14:paraId="2F82FFCB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3.2费用支付提醒</w:t>
      </w:r>
    </w:p>
    <w:p w14:paraId="6FA2CBF0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当申请审核通过，系统计算出病案复印的费用后，向患者发送费用支付提醒。提醒内容包含具体的费用金额、支付截止时间和可选择的支付方式，如微信支付、支付宝支付等。</w:t>
      </w:r>
    </w:p>
    <w:p w14:paraId="0AAC3323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3.3取件或收件提醒</w:t>
      </w:r>
    </w:p>
    <w:p w14:paraId="0B175AA2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若患者选择自取，在病案复印完成且到达自取时间前，发送取件提醒，告知患者可前往指定地点取件，并提醒携带相关证件。若选择邮寄，在病案寄出后，提供快递单号和查询链接，预计送达时间前发送收件提醒。</w:t>
      </w:r>
    </w:p>
    <w:p w14:paraId="0810882C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4.申请记录查询</w:t>
      </w:r>
    </w:p>
    <w:p w14:paraId="16A5318A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患者可根据申请状态对记录进行筛选查询。</w:t>
      </w:r>
    </w:p>
    <w:p w14:paraId="51F8C728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待审核订单：用户申请成功，可取消订单并进行退款。</w:t>
      </w:r>
    </w:p>
    <w:p w14:paraId="6C3B5DC0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待支付订单：审核通过后未支付金额的订单，可进行在线支付与取消。</w:t>
      </w:r>
    </w:p>
    <w:p w14:paraId="1C41EB64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待发货订单：申请完成后，待发货的订单，支持邮寄到付与院内自取。</w:t>
      </w:r>
    </w:p>
    <w:p w14:paraId="2DE5963A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待收货订单：订单发货后，可查看物流状态，可进行收货。</w:t>
      </w:r>
    </w:p>
    <w:p w14:paraId="78F78196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已完成订单：收货完成后，为已完成订单。</w:t>
      </w:r>
    </w:p>
    <w:p w14:paraId="3EFE6958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已取消订单：主动取消，或者超时未支付取消，或者审核驳回的订单。</w:t>
      </w:r>
    </w:p>
    <w:p w14:paraId="613AD0EC">
      <w:pPr>
        <w:pStyle w:val="5"/>
      </w:pPr>
      <w:r>
        <w:rPr>
          <w:rFonts w:hint="eastAsia"/>
        </w:rPr>
        <w:t>二、管理端功能</w:t>
      </w:r>
    </w:p>
    <w:p w14:paraId="242D0355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1.订单查询</w:t>
      </w:r>
    </w:p>
    <w:p w14:paraId="18124837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1.1按条件查询订单</w:t>
      </w:r>
    </w:p>
    <w:p w14:paraId="305CFDD2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管理员可根据多种条件查询订单，如申请时间、患者姓名、订单状态等。在查询订单时，管理员应遵守关于数据查询权限和使用范围的规定。</w:t>
      </w:r>
    </w:p>
    <w:p w14:paraId="73764B0A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1.2订单详情查看</w:t>
      </w:r>
    </w:p>
    <w:p w14:paraId="4147D3B4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可查看订单的详细信息，包括患者基本信息、申请资料、交付方式、费用明细等。管理员查看订单详情时，要确保对患者信息的保密。</w:t>
      </w:r>
    </w:p>
    <w:p w14:paraId="3C7A4C9E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1.3操作日志记录</w:t>
      </w:r>
    </w:p>
    <w:p w14:paraId="1B5565D9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在病案复印过程中，系统记录操作日志，如开始复印时间、完成复印时间、复印份数、费用计算的工作人员等。</w:t>
      </w:r>
    </w:p>
    <w:p w14:paraId="2F87A6F7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2订单管理</w:t>
      </w:r>
    </w:p>
    <w:p w14:paraId="067B561E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2.1订单审核</w:t>
      </w:r>
    </w:p>
    <w:p w14:paraId="5F7D8E1D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管理员对患者提交的病案复印申请订单进行审核，检查患者填写的信息是否完整、上传的资料是否清晰有效、申请用途是否合理等。对于信息不完整或资料不符合要求的订单，会审核驳回并告知患者原因，提示患者补充或修改；对于符合要求的订单，予以通过审核，进入下一步复印流程。</w:t>
      </w:r>
    </w:p>
    <w:p w14:paraId="26002F67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2.2费用计算</w:t>
      </w:r>
    </w:p>
    <w:p w14:paraId="493A2442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根据患者申请复印的病案费用张数、复印份数，结合系统预设的计费规则，自动计算出病案复印的具体费用。计费规则可根据不同病案类型、纸张规格等因素进行个性化设置。</w:t>
      </w:r>
    </w:p>
    <w:p w14:paraId="3409C194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2.3订单发货处理</w:t>
      </w:r>
    </w:p>
    <w:p w14:paraId="6282F2EC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对于选择邮寄交付方式的订单，管理员在病案复印完成后，进行发货处理。在系统中录入快递单号、物流公司等信息，同时更新订单状态为 “已发货”。系统需自动将发货信息同步到患者端。</w:t>
      </w:r>
    </w:p>
    <w:p w14:paraId="596C1DA9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2.4自取订单通知</w:t>
      </w:r>
    </w:p>
    <w:p w14:paraId="758EA8FB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对于选择自取交付方式的订单，当病案复印完成后，通过消息通知患者前来自取。通知内容包含自取时间、地点、需携带的证件等信息。同时，在系统中更新订单状态为 “可自取” 状态。</w:t>
      </w:r>
    </w:p>
    <w:p w14:paraId="50A4CD2A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2.5订单状态更新</w:t>
      </w:r>
    </w:p>
    <w:p w14:paraId="2DA0ED31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根据订单的处理进度，及时更新订单状态，如从 “待审核” 更新为 “审核通过”“计费”“已完成”“已取消” 等。更新后的状态同步到患者端。</w:t>
      </w:r>
    </w:p>
    <w:p w14:paraId="6A9A815D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3.费用管理</w:t>
      </w:r>
    </w:p>
    <w:p w14:paraId="5CD87FD0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对历史费用记录进行全面查询，包括缴费、退费、补缴等各类记录。可根据时间范围（如特定月份、年份）、患者信息（姓名、身份证号）、订单号等条件进行精准筛选查询。查询结果可以表格形式展示费用发生的时间、金额、支付方式、费用类型（缴费、退费、补缴）以及相关订单的基本信息，并可以导出。</w:t>
      </w:r>
    </w:p>
    <w:p w14:paraId="621E0D05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4.患者管理</w:t>
      </w:r>
    </w:p>
    <w:p w14:paraId="1EFE801E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4.1患者信息管理</w:t>
      </w:r>
    </w:p>
    <w:p w14:paraId="40FE68EE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可查看和管理患者的基本信息，包括姓名、身份证号、联系方式等。对于信息有误或不完整的患者，可进行修改和补充。</w:t>
      </w:r>
    </w:p>
    <w:p w14:paraId="3EE068D0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4.2患者申请历史查询</w:t>
      </w:r>
    </w:p>
    <w:p w14:paraId="4B4350FF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查询患者的历史病案复印申请记录，了解患者的申请频率、申请类型等信息，也可对患者申请历史进行分析。</w:t>
      </w:r>
    </w:p>
    <w:p w14:paraId="6B204162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4.3订单数据下载</w:t>
      </w:r>
    </w:p>
    <w:p w14:paraId="11100BA0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可将查询到的订单数据以 Excel 或 CSV 等常见格式下载到本地。下载的数据可用于进一步的数据分析和统计下载数据后，管理员需妥善保存和使用数据，防止数据泄露。</w:t>
      </w:r>
    </w:p>
    <w:p w14:paraId="55A4A362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5.系统管理</w:t>
      </w:r>
    </w:p>
    <w:p w14:paraId="40B077E1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5.1配置管理</w:t>
      </w:r>
    </w:p>
    <w:p w14:paraId="6C516CF4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可对复印价格、最大复印份数、预交费规则、服务须知等进行后台配置，可对复印内容、复印用途进行配置。</w:t>
      </w:r>
    </w:p>
    <w:p w14:paraId="50FAFD61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5.2 院内系统对接</w:t>
      </w:r>
    </w:p>
    <w:p w14:paraId="7E00839A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通过与院内系统进行接口对接，验证患者身份信息、住院信息、复印张数等。</w:t>
      </w:r>
    </w:p>
    <w:p w14:paraId="3C4BC784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5.3快递系统对接</w:t>
      </w:r>
    </w:p>
    <w:p w14:paraId="6626EB41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与快递系统进行接口对接，自动打印用户订单信息、获取物流信息状态等。</w:t>
      </w:r>
    </w:p>
    <w:p w14:paraId="2A5EFA40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5.4 用户信息管理</w:t>
      </w:r>
    </w:p>
    <w:p w14:paraId="2A1AFB0D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对系统内所有用户的基本信息进行管理，包括用户名、密码、联系方式、所属部门等。</w:t>
      </w:r>
    </w:p>
    <w:p w14:paraId="2AED3D8E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5.5 权限分配</w:t>
      </w:r>
    </w:p>
    <w:p w14:paraId="54D2DD44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针对不同的用户角色，按照所属角色分配系统操作权限。</w:t>
      </w:r>
    </w:p>
    <w:p w14:paraId="2ABA668C">
      <w:pPr>
        <w:pStyle w:val="5"/>
      </w:pPr>
      <w:r>
        <w:rPr>
          <w:rFonts w:hint="eastAsia"/>
        </w:rPr>
        <w:t>三、安全性要求</w:t>
      </w:r>
    </w:p>
    <w:p w14:paraId="4DBE79EB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1.系统部署在医院后，接受医院统一的安全管理。</w:t>
      </w:r>
    </w:p>
    <w:p w14:paraId="4B3814C3">
      <w:pPr>
        <w:widowControl/>
        <w:spacing w:line="360" w:lineRule="auto"/>
        <w:jc w:val="left"/>
        <w:textAlignment w:val="center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2.在系统使用期间，根据医院的安排，完成安全补丁修复等工作。</w:t>
      </w:r>
    </w:p>
    <w:p w14:paraId="4A5D20C9">
      <w:pPr>
        <w:pStyle w:val="4"/>
      </w:pPr>
      <w:r>
        <w:rPr>
          <w:rFonts w:hint="eastAsia"/>
        </w:rPr>
        <w:t>二、评分标准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827"/>
        <w:gridCol w:w="6110"/>
        <w:gridCol w:w="876"/>
      </w:tblGrid>
      <w:tr w14:paraId="6A1B5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56464968">
            <w:pPr>
              <w:spacing w:before="78" w:line="222" w:lineRule="auto"/>
              <w:jc w:val="center"/>
              <w:outlineLvl w:val="2"/>
              <w:rPr>
                <w:rFonts w:hint="eastAsia" w:ascii="宋体" w:hAnsi="宋体" w:cs="宋体"/>
                <w:b/>
                <w:bCs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snapToGrid w:val="0"/>
                <w:color w:val="000000" w:themeColor="text1"/>
                <w:spacing w:val="3"/>
                <w:kern w:val="0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商务部分</w:t>
            </w:r>
            <w:r>
              <w:rPr>
                <w:rFonts w:hint="eastAsia" w:ascii="宋体" w:hAnsi="宋体" w:cs="宋体"/>
                <w:b/>
                <w:bCs/>
                <w:snapToGrid w:val="0"/>
                <w:color w:val="000000" w:themeColor="text1"/>
                <w:spacing w:val="3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 w:ascii="宋体" w:hAnsi="宋体" w:cs="宋体"/>
                <w:b/>
                <w:bCs/>
                <w:snapToGrid w:val="0"/>
                <w:color w:val="000000" w:themeColor="text1"/>
                <w:spacing w:val="3"/>
                <w:kern w:val="0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</w:tr>
      <w:tr w14:paraId="058D0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31185867">
            <w:pPr>
              <w:spacing w:line="274" w:lineRule="auto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5727922">
            <w:pPr>
              <w:spacing w:line="275" w:lineRule="auto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4B4FAC2">
            <w:pPr>
              <w:kinsoku w:val="0"/>
              <w:autoSpaceDE w:val="0"/>
              <w:autoSpaceDN w:val="0"/>
              <w:adjustRightInd w:val="0"/>
              <w:snapToGrid w:val="0"/>
              <w:spacing w:before="78" w:line="241" w:lineRule="auto"/>
              <w:jc w:val="center"/>
              <w:textAlignment w:val="baseline"/>
              <w:rPr>
                <w:rFonts w:hint="eastAsia" w:ascii="宋体" w:hAnsi="宋体" w:cs="宋体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27" w:type="dxa"/>
          </w:tcPr>
          <w:p w14:paraId="4586152D">
            <w:pPr>
              <w:spacing w:line="388" w:lineRule="auto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8156D64">
            <w:pPr>
              <w:spacing w:before="78" w:line="222" w:lineRule="auto"/>
              <w:outlineLvl w:val="2"/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企业</w:t>
            </w:r>
          </w:p>
          <w:p w14:paraId="32504221">
            <w:pPr>
              <w:spacing w:before="78" w:line="222" w:lineRule="auto"/>
              <w:outlineLvl w:val="2"/>
              <w:rPr>
                <w:rFonts w:hint="eastAsia" w:ascii="宋体" w:hAnsi="宋体" w:cs="宋体"/>
                <w:snapToGrid w:val="0"/>
                <w:color w:val="000000" w:themeColor="text1"/>
                <w:kern w:val="0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业绩</w:t>
            </w:r>
          </w:p>
        </w:tc>
        <w:tc>
          <w:tcPr>
            <w:tcW w:w="6110" w:type="dxa"/>
          </w:tcPr>
          <w:p w14:paraId="2883EBFC">
            <w:pPr>
              <w:kinsoku w:val="0"/>
              <w:autoSpaceDE w:val="0"/>
              <w:autoSpaceDN w:val="0"/>
              <w:adjustRightInd w:val="0"/>
              <w:snapToGrid w:val="0"/>
              <w:spacing w:before="149" w:line="246" w:lineRule="auto"/>
              <w:ind w:left="120" w:right="102" w:hanging="1"/>
              <w:jc w:val="left"/>
              <w:textAlignment w:val="baseline"/>
              <w:rPr>
                <w:rFonts w:hint="eastAsia" w:ascii="宋体" w:hAnsi="宋体" w:cs="宋体"/>
                <w:snapToGrid w:val="0"/>
                <w:color w:val="000000" w:themeColor="text1"/>
                <w:spacing w:val="-7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napToGrid w:val="0"/>
                <w:color w:val="000000" w:themeColor="text1"/>
                <w:spacing w:val="-7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根据业绩情况进行评审：</w:t>
            </w:r>
          </w:p>
          <w:p w14:paraId="413DF0DF">
            <w:pPr>
              <w:numPr>
                <w:ilvl w:val="0"/>
                <w:numId w:val="2"/>
              </w:numPr>
              <w:kinsoku w:val="0"/>
              <w:autoSpaceDE w:val="0"/>
              <w:autoSpaceDN w:val="0"/>
              <w:adjustRightInd w:val="0"/>
              <w:snapToGrid w:val="0"/>
              <w:spacing w:before="149" w:line="246" w:lineRule="auto"/>
              <w:ind w:left="120" w:right="102" w:hanging="1"/>
              <w:jc w:val="left"/>
              <w:textAlignment w:val="baseline"/>
              <w:rPr>
                <w:rFonts w:hint="eastAsia" w:ascii="宋体" w:hAnsi="宋体" w:cs="宋体"/>
                <w:snapToGrid w:val="0"/>
                <w:color w:val="000000" w:themeColor="text1"/>
                <w:spacing w:val="-7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napToGrid w:val="0"/>
                <w:color w:val="000000" w:themeColor="text1"/>
                <w:spacing w:val="-7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投标人需提供近三年国内与本项目类似的项目业绩合同（复印件），合同中必须要含有“病案（病历）快递”、“病案（病历）邮寄”的内容，并提供用户名单，注明联系人、联系方式，便于评标委员会需要时予以验证。每提供一份得4分，最多得8分。</w:t>
            </w:r>
          </w:p>
          <w:p w14:paraId="54255CE3">
            <w:pPr>
              <w:kinsoku w:val="0"/>
              <w:autoSpaceDE w:val="0"/>
              <w:autoSpaceDN w:val="0"/>
              <w:adjustRightInd w:val="0"/>
              <w:snapToGrid w:val="0"/>
              <w:spacing w:line="248" w:lineRule="auto"/>
              <w:ind w:left="128" w:right="104" w:hanging="1"/>
              <w:jc w:val="left"/>
              <w:textAlignment w:val="baseline"/>
              <w:rPr>
                <w:rFonts w:hint="eastAsia" w:ascii="宋体" w:hAnsi="宋体" w:cs="宋体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snapToGrid w:val="0"/>
                <w:color w:val="000000" w:themeColor="text1"/>
                <w:spacing w:val="-4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注：需提供中标通知书以及合同关键页原件扫描件并加盖投标供应</w:t>
            </w:r>
            <w:r>
              <w:rPr>
                <w:rFonts w:hint="eastAsia" w:ascii="宋体" w:hAnsi="宋体" w:cs="宋体"/>
                <w:b/>
                <w:bCs/>
                <w:snapToGrid w:val="0"/>
                <w:color w:val="000000" w:themeColor="text1"/>
                <w:spacing w:val="-5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商公章，不提供不得分。</w:t>
            </w:r>
          </w:p>
        </w:tc>
        <w:tc>
          <w:tcPr>
            <w:tcW w:w="876" w:type="dxa"/>
          </w:tcPr>
          <w:p w14:paraId="167A7730">
            <w:pPr>
              <w:spacing w:line="274" w:lineRule="auto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2E14500">
            <w:pPr>
              <w:spacing w:line="274" w:lineRule="auto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6994820">
            <w:pPr>
              <w:kinsoku w:val="0"/>
              <w:autoSpaceDE w:val="0"/>
              <w:autoSpaceDN w:val="0"/>
              <w:adjustRightInd w:val="0"/>
              <w:snapToGrid w:val="0"/>
              <w:spacing w:before="78" w:line="224" w:lineRule="auto"/>
              <w:ind w:left="199"/>
              <w:jc w:val="center"/>
              <w:textAlignment w:val="baseline"/>
              <w:rPr>
                <w:rFonts w:hint="eastAsia" w:ascii="宋体" w:hAnsi="宋体" w:cs="宋体"/>
                <w:snapToGrid w:val="0"/>
                <w:color w:val="000000" w:themeColor="text1"/>
                <w:kern w:val="0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napToGrid w:val="0"/>
                <w:color w:val="000000" w:themeColor="text1"/>
                <w:spacing w:val="-14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cs="宋体"/>
                <w:snapToGrid w:val="0"/>
                <w:color w:val="000000" w:themeColor="text1"/>
                <w:spacing w:val="-14"/>
                <w:kern w:val="0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</w:tr>
      <w:tr w14:paraId="30704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6485C59B">
            <w:pPr>
              <w:spacing w:before="78" w:line="222" w:lineRule="auto"/>
              <w:jc w:val="center"/>
              <w:outlineLvl w:val="2"/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27" w:type="dxa"/>
          </w:tcPr>
          <w:p w14:paraId="2F43F493">
            <w:pPr>
              <w:spacing w:before="78" w:line="222" w:lineRule="auto"/>
              <w:outlineLvl w:val="2"/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产品</w:t>
            </w:r>
          </w:p>
          <w:p w14:paraId="50A792E1">
            <w:pPr>
              <w:spacing w:before="78" w:line="222" w:lineRule="auto"/>
              <w:outlineLvl w:val="2"/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资质</w:t>
            </w:r>
          </w:p>
        </w:tc>
        <w:tc>
          <w:tcPr>
            <w:tcW w:w="6110" w:type="dxa"/>
          </w:tcPr>
          <w:p w14:paraId="6266F061">
            <w:pPr>
              <w:kinsoku w:val="0"/>
              <w:autoSpaceDE w:val="0"/>
              <w:autoSpaceDN w:val="0"/>
              <w:adjustRightInd w:val="0"/>
              <w:snapToGrid w:val="0"/>
              <w:spacing w:before="149" w:line="246" w:lineRule="auto"/>
              <w:ind w:left="119" w:right="102"/>
              <w:jc w:val="left"/>
              <w:textAlignment w:val="baseline"/>
              <w:rPr>
                <w:rFonts w:hint="eastAsia" w:ascii="宋体" w:hAnsi="宋体" w:cs="宋体"/>
                <w:snapToGrid w:val="0"/>
                <w:color w:val="000000" w:themeColor="text1"/>
                <w:spacing w:val="-7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napToGrid w:val="0"/>
                <w:color w:val="000000" w:themeColor="text1"/>
                <w:spacing w:val="-7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下面的每项分值为每个评审因素符合要求情况下的得分，不符合不得分。</w:t>
            </w:r>
          </w:p>
          <w:p w14:paraId="72E6A8D4">
            <w:pPr>
              <w:numPr>
                <w:ilvl w:val="0"/>
                <w:numId w:val="3"/>
              </w:numPr>
              <w:kinsoku w:val="0"/>
              <w:autoSpaceDE w:val="0"/>
              <w:autoSpaceDN w:val="0"/>
              <w:adjustRightInd w:val="0"/>
              <w:snapToGrid w:val="0"/>
              <w:spacing w:before="149" w:line="246" w:lineRule="auto"/>
              <w:ind w:left="120" w:right="102" w:hanging="1"/>
              <w:jc w:val="left"/>
              <w:textAlignment w:val="baseline"/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napToGrid w:val="0"/>
                <w:color w:val="000000" w:themeColor="text1"/>
                <w:spacing w:val="-7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投标产品须具备“患者服务平台”、“病案快递”内容的《计算机软件产品著作权登记证书》；每提供一个得4分，最多得8分；（提供的软件著作权名称需包含以上关键字，且著作权颁发日期须在招标公告挂网之前，否则被认定为无效证明，需提供证书复印件。</w:t>
            </w:r>
            <w:r>
              <w:rPr>
                <w:rFonts w:hint="eastAsia" w:ascii="宋体" w:hAnsi="宋体" w:cs="宋体"/>
                <w:snapToGrid w:val="0"/>
                <w:color w:val="000000" w:themeColor="text1"/>
                <w:spacing w:val="-7"/>
                <w:kern w:val="0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76" w:type="dxa"/>
          </w:tcPr>
          <w:p w14:paraId="3E41E76A">
            <w:pPr>
              <w:kinsoku w:val="0"/>
              <w:autoSpaceDE w:val="0"/>
              <w:autoSpaceDN w:val="0"/>
              <w:adjustRightInd w:val="0"/>
              <w:snapToGrid w:val="0"/>
              <w:spacing w:before="78" w:line="224" w:lineRule="auto"/>
              <w:ind w:left="199"/>
              <w:jc w:val="center"/>
              <w:textAlignment w:val="baseline"/>
              <w:rPr>
                <w:rFonts w:hint="eastAsia" w:ascii="宋体" w:hAnsi="宋体" w:cs="宋体"/>
                <w:snapToGrid w:val="0"/>
                <w:color w:val="000000" w:themeColor="text1"/>
                <w:spacing w:val="-4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napToGrid w:val="0"/>
                <w:color w:val="000000" w:themeColor="text1"/>
                <w:spacing w:val="-14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8分</w:t>
            </w:r>
          </w:p>
        </w:tc>
      </w:tr>
      <w:tr w14:paraId="34749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4E9D5ECB">
            <w:pPr>
              <w:spacing w:before="78" w:line="222" w:lineRule="auto"/>
              <w:jc w:val="center"/>
              <w:outlineLvl w:val="2"/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snapToGrid w:val="0"/>
                <w:color w:val="000000" w:themeColor="text1"/>
                <w:spacing w:val="4"/>
                <w:kern w:val="0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技术部分</w:t>
            </w:r>
            <w:r>
              <w:rPr>
                <w:rFonts w:hint="eastAsia" w:ascii="宋体" w:hAnsi="宋体" w:cs="宋体"/>
                <w:b/>
                <w:bCs/>
                <w:snapToGrid w:val="0"/>
                <w:color w:val="000000" w:themeColor="text1"/>
                <w:spacing w:val="4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84</w:t>
            </w:r>
            <w:r>
              <w:rPr>
                <w:rFonts w:hint="eastAsia" w:ascii="宋体" w:hAnsi="宋体" w:cs="宋体"/>
                <w:b/>
                <w:bCs/>
                <w:snapToGrid w:val="0"/>
                <w:color w:val="000000" w:themeColor="text1"/>
                <w:spacing w:val="4"/>
                <w:kern w:val="0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</w:tr>
      <w:tr w14:paraId="03E98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1A195CC2">
            <w:pPr>
              <w:kinsoku w:val="0"/>
              <w:autoSpaceDE w:val="0"/>
              <w:autoSpaceDN w:val="0"/>
              <w:adjustRightInd w:val="0"/>
              <w:snapToGrid w:val="0"/>
              <w:spacing w:before="204" w:line="241" w:lineRule="auto"/>
              <w:jc w:val="center"/>
              <w:textAlignment w:val="baseline"/>
              <w:rPr>
                <w:rFonts w:hint="eastAsia" w:ascii="宋体" w:hAnsi="宋体" w:cs="宋体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27" w:type="dxa"/>
          </w:tcPr>
          <w:p w14:paraId="5F27535D">
            <w:pPr>
              <w:spacing w:before="78" w:line="222" w:lineRule="auto"/>
              <w:outlineLvl w:val="2"/>
              <w:rPr>
                <w:rFonts w:hint="eastAsia" w:ascii="宋体" w:hAnsi="宋体" w:cs="宋体"/>
                <w:snapToGrid w:val="0"/>
                <w:color w:val="000000" w:themeColor="text1"/>
                <w:kern w:val="0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技术参数响应</w:t>
            </w:r>
          </w:p>
        </w:tc>
        <w:tc>
          <w:tcPr>
            <w:tcW w:w="6110" w:type="dxa"/>
          </w:tcPr>
          <w:p w14:paraId="576FBE4A">
            <w:pPr>
              <w:pStyle w:val="6"/>
              <w:spacing w:line="400" w:lineRule="exact"/>
              <w:jc w:val="left"/>
              <w:rPr>
                <w:rFonts w:hint="eastAsia" w:hAnsi="宋体" w:cs="宋体"/>
                <w:snapToGrid w:val="0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snapToGrid w:val="0"/>
                <w:color w:val="000000" w:themeColor="text1"/>
                <w:spacing w:val="-7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根据招标文件采购需求中的“技术要求 ”指标进行评审，完全满足技术要求要求的最高得36分，不满足招标文件参数要求的，每有一项不满足或者负偏离扣2分，扣完为止。</w:t>
            </w:r>
          </w:p>
        </w:tc>
        <w:tc>
          <w:tcPr>
            <w:tcW w:w="876" w:type="dxa"/>
          </w:tcPr>
          <w:p w14:paraId="2CCA72FA">
            <w:pPr>
              <w:kinsoku w:val="0"/>
              <w:autoSpaceDE w:val="0"/>
              <w:autoSpaceDN w:val="0"/>
              <w:adjustRightInd w:val="0"/>
              <w:snapToGrid w:val="0"/>
              <w:spacing w:before="204" w:line="224" w:lineRule="auto"/>
              <w:ind w:left="124"/>
              <w:jc w:val="center"/>
              <w:textAlignment w:val="baseline"/>
              <w:rPr>
                <w:rFonts w:hint="eastAsia" w:ascii="宋体" w:hAnsi="宋体" w:cs="宋体"/>
                <w:snapToGrid w:val="0"/>
                <w:color w:val="000000" w:themeColor="text1"/>
                <w:kern w:val="0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napToGrid w:val="0"/>
                <w:color w:val="000000" w:themeColor="text1"/>
                <w:spacing w:val="-4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36</w:t>
            </w:r>
            <w:r>
              <w:rPr>
                <w:rFonts w:hint="eastAsia" w:ascii="宋体" w:hAnsi="宋体" w:cs="宋体"/>
                <w:snapToGrid w:val="0"/>
                <w:color w:val="000000" w:themeColor="text1"/>
                <w:spacing w:val="-4"/>
                <w:kern w:val="0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</w:tr>
      <w:tr w14:paraId="00D3E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10E72948">
            <w:pPr>
              <w:spacing w:before="78" w:line="222" w:lineRule="auto"/>
              <w:jc w:val="center"/>
              <w:outlineLvl w:val="2"/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827" w:type="dxa"/>
          </w:tcPr>
          <w:p w14:paraId="339EFD2D">
            <w:pPr>
              <w:spacing w:before="78" w:line="222" w:lineRule="auto"/>
              <w:outlineLvl w:val="2"/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售后服务方案</w:t>
            </w:r>
          </w:p>
        </w:tc>
        <w:tc>
          <w:tcPr>
            <w:tcW w:w="6110" w:type="dxa"/>
          </w:tcPr>
          <w:p w14:paraId="40989943">
            <w:pPr>
              <w:jc w:val="left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根据投标人提供的售后服务方案进行评分，内容包含①售后服务体系；②服务人员配备分工；③响应时间；④售后服务措施；⑤售后回访及跟踪管理措施。</w:t>
            </w:r>
          </w:p>
          <w:p w14:paraId="7F0EA0BC">
            <w:pPr>
              <w:pStyle w:val="6"/>
              <w:spacing w:line="400" w:lineRule="exact"/>
              <w:jc w:val="left"/>
              <w:rPr>
                <w:rFonts w:hint="eastAsia" w:hAnsi="宋体" w:cs="宋体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sz w:val="24"/>
                <w:szCs w:val="24"/>
              </w:rPr>
              <w:t>每满足一项得5分。每项出现不完善或不合理的，每出现一处扣1分。本项最高25分，未提供不得分。</w:t>
            </w:r>
          </w:p>
        </w:tc>
        <w:tc>
          <w:tcPr>
            <w:tcW w:w="876" w:type="dxa"/>
          </w:tcPr>
          <w:p w14:paraId="10688ECF">
            <w:pPr>
              <w:spacing w:before="78" w:line="222" w:lineRule="auto"/>
              <w:jc w:val="center"/>
              <w:outlineLvl w:val="2"/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25分</w:t>
            </w:r>
          </w:p>
        </w:tc>
      </w:tr>
      <w:tr w14:paraId="48C4A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491B0C43">
            <w:pPr>
              <w:spacing w:before="78" w:line="222" w:lineRule="auto"/>
              <w:jc w:val="center"/>
              <w:outlineLvl w:val="2"/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827" w:type="dxa"/>
          </w:tcPr>
          <w:p w14:paraId="0B8DE7D6">
            <w:pPr>
              <w:spacing w:before="78" w:line="222" w:lineRule="auto"/>
              <w:outlineLvl w:val="2"/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项目实施方案</w:t>
            </w:r>
          </w:p>
        </w:tc>
        <w:tc>
          <w:tcPr>
            <w:tcW w:w="6110" w:type="dxa"/>
          </w:tcPr>
          <w:p w14:paraId="6A2FC1DE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根据投标人提供的项目实施方案进行评分，内容包含①项目管理制度；②实施计划；③进度控制；④质量保障措施。</w:t>
            </w:r>
          </w:p>
          <w:p w14:paraId="11E917BE">
            <w:pPr>
              <w:spacing w:before="78" w:line="222" w:lineRule="auto"/>
              <w:outlineLvl w:val="2"/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每满足一项得5分。每项出现不完善或不合理的，每出现一处扣1分，扣完为止。本项最高20分，未提供不得分。</w:t>
            </w:r>
          </w:p>
        </w:tc>
        <w:tc>
          <w:tcPr>
            <w:tcW w:w="876" w:type="dxa"/>
          </w:tcPr>
          <w:p w14:paraId="7F41E9CD">
            <w:pPr>
              <w:spacing w:before="78" w:line="222" w:lineRule="auto"/>
              <w:jc w:val="center"/>
              <w:outlineLvl w:val="2"/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20分</w:t>
            </w:r>
          </w:p>
        </w:tc>
      </w:tr>
      <w:tr w14:paraId="42312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6CA6EE56">
            <w:pPr>
              <w:spacing w:before="78" w:line="222" w:lineRule="auto"/>
              <w:jc w:val="center"/>
              <w:outlineLvl w:val="2"/>
              <w:rPr>
                <w:rFonts w:hint="eastAsia" w:ascii="宋体" w:hAnsi="宋体" w:eastAsia="宋体" w:cs="宋体"/>
                <w:color w:val="000000" w:themeColor="text1"/>
                <w:spacing w:val="-5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bookmarkStart w:id="0" w:name="_GoBack"/>
            <w:bookmarkEnd w:id="0"/>
          </w:p>
        </w:tc>
        <w:tc>
          <w:tcPr>
            <w:tcW w:w="827" w:type="dxa"/>
          </w:tcPr>
          <w:p w14:paraId="41AFA0E1">
            <w:pPr>
              <w:spacing w:before="78" w:line="222" w:lineRule="auto"/>
              <w:outlineLvl w:val="2"/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培训</w:t>
            </w:r>
            <w:r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方案</w:t>
            </w:r>
          </w:p>
        </w:tc>
        <w:tc>
          <w:tcPr>
            <w:tcW w:w="6110" w:type="dxa"/>
          </w:tcPr>
          <w:p w14:paraId="7D4A48D4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据投标人制定的项目培训方案进行评分，内容包含①培训内容；②师资力量配备；③培训人次安排。</w:t>
            </w:r>
          </w:p>
          <w:p w14:paraId="56DC3BC0">
            <w:pPr>
              <w:spacing w:before="78" w:line="222" w:lineRule="auto"/>
              <w:outlineLvl w:val="2"/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每满足一项得1分。每项出现不完善或不合理的，每出现一处扣1分。本项最高3分，未提供不得分。</w:t>
            </w:r>
          </w:p>
        </w:tc>
        <w:tc>
          <w:tcPr>
            <w:tcW w:w="876" w:type="dxa"/>
          </w:tcPr>
          <w:p w14:paraId="35AD955A">
            <w:pPr>
              <w:spacing w:before="78" w:line="222" w:lineRule="auto"/>
              <w:jc w:val="center"/>
              <w:outlineLvl w:val="2"/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3分</w:t>
            </w:r>
          </w:p>
        </w:tc>
      </w:tr>
    </w:tbl>
    <w:p w14:paraId="0425C379">
      <w:pPr>
        <w:rPr>
          <w:rFonts w:hint="eastAsia" w:ascii="宋体" w:hAnsi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B5EEEB"/>
    <w:multiLevelType w:val="singleLevel"/>
    <w:tmpl w:val="89B5EE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082758B"/>
    <w:multiLevelType w:val="singleLevel"/>
    <w:tmpl w:val="B082758B"/>
    <w:lvl w:ilvl="0" w:tentative="0">
      <w:start w:val="2"/>
      <w:numFmt w:val="decimal"/>
      <w:suff w:val="space"/>
      <w:lvlText w:val="%1."/>
      <w:lvlJc w:val="left"/>
    </w:lvl>
  </w:abstractNum>
  <w:abstractNum w:abstractNumId="2">
    <w:nsid w:val="1D2A53D3"/>
    <w:multiLevelType w:val="singleLevel"/>
    <w:tmpl w:val="1D2A53D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B71"/>
    <w:rsid w:val="00114786"/>
    <w:rsid w:val="004D535C"/>
    <w:rsid w:val="00837B71"/>
    <w:rsid w:val="00BA5474"/>
    <w:rsid w:val="00E87530"/>
    <w:rsid w:val="07EE7199"/>
    <w:rsid w:val="2745372E"/>
    <w:rsid w:val="51EF5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5">
    <w:name w:val="heading 5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4"/>
    </w:pPr>
    <w:rPr>
      <w:b/>
      <w:sz w:val="28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6">
    <w:name w:val="Plain Text"/>
    <w:basedOn w:val="1"/>
    <w:next w:val="1"/>
    <w:qFormat/>
    <w:uiPriority w:val="0"/>
    <w:pPr>
      <w:widowControl/>
      <w:spacing w:before="120" w:after="120" w:line="240" w:lineRule="atLeast"/>
    </w:pPr>
    <w:rPr>
      <w:rFonts w:ascii="宋体" w:hAnsi="Courier New"/>
      <w:sz w:val="2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fontstyle01"/>
    <w:qFormat/>
    <w:uiPriority w:val="0"/>
    <w:rPr>
      <w:rFonts w:hint="eastAsia" w:ascii="宋体" w:hAnsi="宋体" w:eastAsia="宋体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1638</Words>
  <Characters>1672</Characters>
  <Lines>98</Lines>
  <Paragraphs>110</Paragraphs>
  <TotalTime>30</TotalTime>
  <ScaleCrop>false</ScaleCrop>
  <LinksUpToDate>false</LinksUpToDate>
  <CharactersWithSpaces>3200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2026-08-28T03:17:00Z</dcterms:created>
  <dc:creator>90303</dc:creator>
  <cp:lastModifiedBy>郝引其</cp:lastModifiedBy>
  <dcterms:modified xsi:type="dcterms:W3CDTF">2026-09-09T01:46:42Z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KSOTemplateDocerSaveRecord">
    <vt:lpwstr>eyJoZGlkIjoiZGM5MzY5ZDM4ZDljZDI0ZTUwMTdiYjVjYjQ0OTUwMTciLCJ1c2VySWQiOiI2MzEyMTc4NDMifQ==</vt:lpwstr>
  </property>
  <property fmtid="{D5CDD505-2E9C-101B-9397-08002B2CF9AE}" pid="4" name="ICV">
    <vt:lpwstr>E27B67722D1A4C47ACF37B0B4BFEF7A1_12</vt:lpwstr>
  </property>
</Properties>
</file>