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577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0"/>
        <w:gridCol w:w="1064"/>
        <w:gridCol w:w="1851"/>
        <w:gridCol w:w="894"/>
        <w:gridCol w:w="4968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项目序号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科室名称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进口或国产</w:t>
            </w:r>
          </w:p>
        </w:tc>
        <w:tc>
          <w:tcPr>
            <w:tcW w:w="4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功能需求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检验科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全自动核酸提取工作站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4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1、样本类型：可全自动提纯各种样本类型（包括：全血、血浆、体液、分泌物等）；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2、样本上机：支持原始管（可兼容各种规格的采血管，上样方式灵活，支持不同样品管和离心管，无需将样品转移至特定的上样规格；一个批次中可以装载不同类型的样品管、冻存管及加样杯）直接上机；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3、样本通量及完成时间：1-96个标本,≤60分钟（可完成96个样本的自动加样、核酸提纯和PCR反应体系构建）；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4、项目通量：支持多个项目（如NG、UU、CT、HSV2、MP、HCMV、HPV、手足口等）同时提取，支持一次提取，仪器自动分配核酸，匹配多个项目扩增；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5、移液通道：移液通道数不少于4个；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6、信息系统：可全程双向LIS系统连接；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7、生物安全： 内置紫外消毒装置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8、移液精度：15μl 以下：准确性：A≤1.5%，重复性CV≤3.0%；15μl ~50μl ：准确性：A≤1.0%，重复性CV≤1.2%；50μl以上：准确性：A≤1.0%，重复性CV≤1.0%；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9、可同时提取DNA和RNA；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10、兼容0.1ml/0.2ml八连管、96孔板；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11、需与我院目前使用的天隆提取试剂配套使用；　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检验科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实时荧光定量PCR仪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进口</w:t>
            </w:r>
          </w:p>
        </w:tc>
        <w:tc>
          <w:tcPr>
            <w:tcW w:w="4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1、灵敏度：可检测单拷贝基因；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2、动力学范围：可检测1-1010；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3、扩增速率：完成40个循环不超过40分钟（384孔板）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4、通道：激发通道不低于5通道，检测通道不低于6通道；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5、重复性：CV&lt;0.15%；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6、样本通量：一次性检测样本量不少于375个；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7、兼容性：能适用于多种检测模式(染料检测、杂交探针、简单探针等),适用于第三方提供的8联管、96孔板和384孔板；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8、光源：所有样品孔采用同一光源激发保证激发的一致性；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9、仪器一体化制造，光学部分和检测部分不可独立拆分。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257605"/>
    <w:rsid w:val="1625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2021-01-29T03:00:00Z</dcterms:created>
  <dc:creator>资产科肖婷</dc:creator>
  <cp:lastModifiedBy>资产科肖婷</cp:lastModifiedBy>
  <dcterms:modified xsi:type="dcterms:W3CDTF">2021-01-29T03:04:12Z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