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4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1063"/>
        <w:gridCol w:w="1063"/>
        <w:gridCol w:w="1063"/>
        <w:gridCol w:w="55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项目序号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申购科室名称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申购设备名称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进口/国产</w:t>
            </w:r>
          </w:p>
        </w:tc>
        <w:tc>
          <w:tcPr>
            <w:tcW w:w="5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麻醉科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可视喉镜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主要用于气管插管患者，特别是困难气道。整机具有拍照录像、数据存取功能；显示器能上下左右转动不影响插管操作；摄像头与镜片前端距离适中，无盲区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1、一次性喉镜片可插入长度＞105mm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2、视场角≥60°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3、摄像头防水、防雾功能，可储电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妇产科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超声波子宫复旧仪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主要用于缓解产后疼痛，缩短子宫复旧时间。用于促进顺产后子宫复旧、流产后子宫复旧、宫腔镜术后内膜修复、剖宫产瘢痕松懈、痛经缓解等。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1、超声波频率：0.7MHZ~1MHZ；输出声功率：≤10W；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2、整机功率：≤100VA；脉冲频率：50HZ~900HZ；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3、占空比：25%-100%；超声波输出方式：间歇加载连续输出；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4、配置要求：治疗手具1个/台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肿瘤内科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大孔径CT质控模体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进口</w:t>
            </w:r>
          </w:p>
        </w:tc>
        <w:tc>
          <w:tcPr>
            <w:tcW w:w="5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主要用于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对CT模拟机进行定期质控，确保大孔径CT模拟定位机扫描定位图像的准确性。可测量激光灯层面和扫描层面的一致性，可检测HU值的稳定性，可验证扫描层厚。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1.满足TG-66协议要求，用于CT模拟机的质控；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2.可测量激光灯层面和扫描层面的一致性；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3.可检测CT图像的均匀性；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4.可检测HU值的稳定性；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5.验证扫描层厚；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6.可检查激光定位系统位移的精度；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7.具备质控模体，质控软件及相关硬件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78D02BF"/>
    <w:rsid w:val="078D02BF"/>
    <w:rsid w:val="6AC13487"/>
    <w:rsid w:val="6E5300A9"/>
    <w:rsid w:val="77085369"/>
    <w:rsid w:val="7B5D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484</Words>
  <Characters>539</Characters>
  <Lines>0</Lines>
  <Paragraphs>0</Paragraphs>
  <TotalTime>2</TotalTime>
  <ScaleCrop>false</ScaleCrop>
  <LinksUpToDate>false</LinksUpToDate>
  <CharactersWithSpaces>539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2023-04-04T09:30:00Z</dcterms:created>
  <dc:creator>医学装备科</dc:creator>
  <cp:lastModifiedBy>医学装备科</cp:lastModifiedBy>
  <dcterms:modified xsi:type="dcterms:W3CDTF">2023-04-04T09:33:10Z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E95EDBA9644C406EB7FE354625A62BBE_11</vt:lpwstr>
  </property>
</Properties>
</file>