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4F48A">
      <w:pPr>
        <w:rPr>
          <w:rFonts w:hint="eastAsia" w:ascii="Calibri" w:hAnsi="Calibri" w:eastAsia="宋体" w:cs="宋体"/>
          <w:szCs w:val="22"/>
          <w:lang w:val="en-US" w:eastAsia="zh-CN"/>
        </w:rPr>
      </w:pPr>
      <w:bookmarkStart w:id="4" w:name="_GoBack"/>
      <w:r>
        <w:rPr>
          <w:rFonts w:hint="eastAsia" w:ascii="Calibri" w:hAnsi="Calibri" w:eastAsia="宋体" w:cs="宋体"/>
          <w:szCs w:val="22"/>
          <w:lang w:val="en-US" w:eastAsia="zh-CN"/>
        </w:rPr>
        <w:t>附件一</w:t>
      </w:r>
    </w:p>
    <w:p w14:paraId="2C5035F5">
      <w:pPr>
        <w:jc w:val="center"/>
        <w:rPr>
          <w:rFonts w:hint="default" w:ascii="Calibri" w:hAnsi="Calibri" w:eastAsia="宋体" w:cs="宋体"/>
          <w:b/>
          <w:bCs/>
          <w:sz w:val="32"/>
          <w:szCs w:val="32"/>
          <w:highlight w:val="none"/>
          <w:lang w:val="en-US" w:eastAsia="zh-CN"/>
        </w:rPr>
      </w:pPr>
      <w:r>
        <w:rPr>
          <w:rFonts w:hint="eastAsia" w:ascii="Calibri" w:hAnsi="Calibri" w:eastAsia="宋体" w:cs="宋体"/>
          <w:b/>
          <w:bCs/>
          <w:sz w:val="32"/>
          <w:szCs w:val="32"/>
          <w:highlight w:val="none"/>
          <w:lang w:val="en-US" w:eastAsia="zh-CN"/>
        </w:rPr>
        <w:t>两地三中心信息化建设需求调研</w:t>
      </w:r>
      <w:bookmarkEnd w:id="4"/>
    </w:p>
    <w:p w14:paraId="5934858D">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一、项目背景</w:t>
      </w:r>
    </w:p>
    <w:p w14:paraId="445F7DF4">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成都市第五人民医院作为集医疗、教学、科研、预防、康复、急救于一体的国家三级甲等综合医院，网络安全信息化建设一直是重点建设目标。为满足未来“一院多区”统一安全管理需要，同时为落实《网络安全法》《数据安全法》《关键信息基础设施安全保护条例》及《医疗卫生机构网络安全管理办法》等政策法规要求。现启动光华院区信息化建设网络安全设备采购项目。本项目将在充分利用现有安全体系基础上，与医院实际业务深度融合，引入最新安全防护技术手段，构建两地三中心架构下统一、高效、智能的体系化安全防护模式。</w:t>
      </w:r>
    </w:p>
    <w:p w14:paraId="4F839823">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二、项目概况</w:t>
      </w:r>
    </w:p>
    <w:p w14:paraId="54C72AB0">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项目名称：两地三中心信息化建设</w:t>
      </w:r>
    </w:p>
    <w:p w14:paraId="0027D77D">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建设目标：构建覆盖光华院区、西区灾备中心及现有院区的统一安全防护体系，满足等保2.0三级及医疗行业数据安全合规要求，保障1-1.5万并发用户、1PB存储资源池的安全运行。同时，建设AI驱动的安全运营监测平台和信息运维管理平台，实现安全态势全局可视、运维流程自动化、资产配置统一管控。</w:t>
      </w:r>
    </w:p>
    <w:p w14:paraId="686E534B">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项目以“实战化、体系化、常态化”为理念，采用“动态防御、主动防御、纵深防御、精准防护、整体防护、联防联控”的“三化六防”举措，构建“一平台、二网络、三能力”体系：</w:t>
      </w:r>
    </w:p>
    <w:p w14:paraId="695A2246">
      <w:pPr>
        <w:spacing w:line="360" w:lineRule="auto"/>
        <w:ind w:firstLine="480" w:firstLineChars="200"/>
        <w:rPr>
          <w:rFonts w:hint="default" w:ascii="仿宋_GB2312" w:hAnsi="仿宋_GB2312" w:eastAsia="仿宋_GB2312" w:cs="仿宋_GB2312"/>
          <w:sz w:val="24"/>
          <w:szCs w:val="24"/>
          <w:highlight w:val="none"/>
          <w:lang w:val="en-US" w:eastAsia="zh-CN"/>
        </w:rPr>
      </w:pPr>
      <w:r>
        <w:rPr>
          <w:rFonts w:hint="default" w:ascii="仿宋_GB2312" w:hAnsi="仿宋_GB2312" w:eastAsia="仿宋_GB2312" w:cs="仿宋_GB2312"/>
          <w:sz w:val="24"/>
          <w:szCs w:val="24"/>
          <w:highlight w:val="none"/>
          <w:lang w:val="en-US" w:eastAsia="zh-CN"/>
        </w:rPr>
        <w:t>一平台：大数据安全分析与态势感知平台</w:t>
      </w:r>
      <w:r>
        <w:rPr>
          <w:rFonts w:hint="eastAsia" w:ascii="仿宋_GB2312" w:hAnsi="仿宋_GB2312" w:eastAsia="仿宋_GB2312" w:cs="仿宋_GB2312"/>
          <w:sz w:val="24"/>
          <w:szCs w:val="24"/>
          <w:highlight w:val="none"/>
          <w:lang w:val="en-US" w:eastAsia="zh-CN"/>
        </w:rPr>
        <w:t>（AI）</w:t>
      </w:r>
    </w:p>
    <w:p w14:paraId="62C6B9A9">
      <w:pPr>
        <w:spacing w:line="360" w:lineRule="auto"/>
        <w:ind w:firstLine="480" w:firstLineChars="200"/>
        <w:rPr>
          <w:rFonts w:hint="default" w:ascii="仿宋_GB2312" w:hAnsi="仿宋_GB2312" w:eastAsia="仿宋_GB2312" w:cs="仿宋_GB2312"/>
          <w:sz w:val="24"/>
          <w:szCs w:val="24"/>
          <w:highlight w:val="none"/>
          <w:lang w:val="en-US" w:eastAsia="zh-CN"/>
        </w:rPr>
      </w:pPr>
      <w:r>
        <w:rPr>
          <w:rFonts w:hint="default" w:ascii="仿宋_GB2312" w:hAnsi="仿宋_GB2312" w:eastAsia="仿宋_GB2312" w:cs="仿宋_GB2312"/>
          <w:sz w:val="24"/>
          <w:szCs w:val="24"/>
          <w:highlight w:val="none"/>
          <w:lang w:val="en-US" w:eastAsia="zh-CN"/>
        </w:rPr>
        <w:t>二网络：外网全站点全应用安全、内网全系统全终端安全</w:t>
      </w:r>
    </w:p>
    <w:p w14:paraId="1C23C940">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default" w:ascii="仿宋_GB2312" w:hAnsi="仿宋_GB2312" w:eastAsia="仿宋_GB2312" w:cs="仿宋_GB2312"/>
          <w:sz w:val="24"/>
          <w:szCs w:val="24"/>
          <w:highlight w:val="none"/>
          <w:lang w:val="en-US" w:eastAsia="zh-CN"/>
        </w:rPr>
        <w:t>三能力：监测预警、主动防御、安全运营能力</w:t>
      </w:r>
    </w:p>
    <w:p w14:paraId="4A236764">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采购内容：网络安全设备（边界安全防护类、区域隔离与终端防护类、数据安全与审计类、流量监测类）、应用负载均衡设备、分布式存储资源池，以及安全运营监测平台、信息运维管理平台。详细清单见附件。</w:t>
      </w:r>
    </w:p>
    <w:p w14:paraId="2A88F3D5">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三、通用技术要求</w:t>
      </w:r>
    </w:p>
    <w:p w14:paraId="2271D8FF">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技术合规性：严格遵循《网络安全法》《数据安全法》《个人信息保护法》及医疗行业相关标准规范，确保网络运行、数据管理、业务开展全流程合规，通过相关合规测评。</w:t>
      </w:r>
    </w:p>
    <w:p w14:paraId="31B569AC">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设备兼容性：本次采购所有网络安全设备需支持与医院现有安全设备（包括态势感知平台、堡垒机、日志审计设备、数据库审计设备、终端安全防护系统）兼容对接，支持Syslog、SNMP、Kafka、API等标准接口和协议。新增平台需支持与现有及本次采购的所有安全设备无缝集成。</w:t>
      </w:r>
    </w:p>
    <w:p w14:paraId="05972ED3">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产品合规性：设备需通过国家相关安全认证（如CCC认证、网络安全专用产品认证、具备计算机软件著作权登记证书等），提供认证证书复印件。</w:t>
      </w:r>
    </w:p>
    <w:p w14:paraId="0899FFF6">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性能要求：设备性能需满足医院1-1.5万并发用户、1PB存储资源池的安全防护需求，无性能瓶颈。所有设备及平台应具备良好的扩展能力，支持未来3-5年业务增长。</w:t>
      </w:r>
    </w:p>
    <w:p w14:paraId="038CF4ED">
      <w:pPr>
        <w:spacing w:line="360" w:lineRule="auto"/>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核心能力：满足等保2.0三级要求，实现风险识别、威胁防护、持续检测、响应处置闭环，确保“看得见、管得住、可溯源”。</w:t>
      </w:r>
    </w:p>
    <w:p w14:paraId="4D342BC8">
      <w:pPr>
        <w:spacing w:line="360" w:lineRule="auto"/>
        <w:ind w:firstLine="480" w:firstLineChars="200"/>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调研内容及技术参数:(请各应询方围绕以下设备与服务类别，提交贵司的优势产品介绍与针对性解决方案)</w:t>
      </w:r>
    </w:p>
    <w:p w14:paraId="0919751A">
      <w:pPr>
        <w:spacing w:line="360" w:lineRule="auto"/>
        <w:ind w:firstLine="480" w:firstLineChars="200"/>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（一）</w:t>
      </w:r>
      <w:r>
        <w:rPr>
          <w:rFonts w:hint="default" w:ascii="仿宋_GB2312" w:hAnsi="仿宋_GB2312" w:eastAsia="仿宋_GB2312" w:cs="仿宋_GB2312"/>
          <w:sz w:val="24"/>
          <w:szCs w:val="24"/>
          <w:highlight w:val="none"/>
          <w:lang w:val="en-US" w:eastAsia="zh-CN"/>
        </w:rPr>
        <w:t>设备及平台采购总清单（供报价与方案参考）</w:t>
      </w:r>
    </w:p>
    <w:tbl>
      <w:tblPr>
        <w:tblStyle w:val="3"/>
        <w:tblW w:w="87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1284"/>
        <w:gridCol w:w="2626"/>
        <w:gridCol w:w="885"/>
        <w:gridCol w:w="983"/>
        <w:gridCol w:w="2170"/>
      </w:tblGrid>
      <w:tr w14:paraId="44B2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14:paraId="4593444D">
            <w:pPr>
              <w:numPr>
                <w:ilvl w:val="0"/>
                <w:numId w:val="0"/>
              </w:numPr>
              <w:spacing w:line="360" w:lineRule="auto"/>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序号</w:t>
            </w:r>
          </w:p>
        </w:tc>
        <w:tc>
          <w:tcPr>
            <w:tcW w:w="1284" w:type="dxa"/>
            <w:vAlign w:val="center"/>
          </w:tcPr>
          <w:p w14:paraId="2A1D47CC">
            <w:pPr>
              <w:numPr>
                <w:ilvl w:val="0"/>
                <w:numId w:val="0"/>
              </w:numPr>
              <w:spacing w:line="360" w:lineRule="auto"/>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设备类别</w:t>
            </w:r>
          </w:p>
        </w:tc>
        <w:tc>
          <w:tcPr>
            <w:tcW w:w="2626" w:type="dxa"/>
            <w:vAlign w:val="center"/>
          </w:tcPr>
          <w:p w14:paraId="07A9AFDF">
            <w:pPr>
              <w:numPr>
                <w:ilvl w:val="0"/>
                <w:numId w:val="0"/>
              </w:numPr>
              <w:spacing w:line="360" w:lineRule="auto"/>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设备名称</w:t>
            </w:r>
          </w:p>
        </w:tc>
        <w:tc>
          <w:tcPr>
            <w:tcW w:w="885" w:type="dxa"/>
            <w:vAlign w:val="center"/>
          </w:tcPr>
          <w:p w14:paraId="1C1E737A">
            <w:pPr>
              <w:numPr>
                <w:ilvl w:val="0"/>
                <w:numId w:val="0"/>
              </w:numPr>
              <w:spacing w:line="360" w:lineRule="auto"/>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数量</w:t>
            </w:r>
          </w:p>
        </w:tc>
        <w:tc>
          <w:tcPr>
            <w:tcW w:w="983" w:type="dxa"/>
            <w:vAlign w:val="center"/>
          </w:tcPr>
          <w:p w14:paraId="2DE908C2">
            <w:pPr>
              <w:numPr>
                <w:ilvl w:val="0"/>
                <w:numId w:val="0"/>
              </w:numPr>
              <w:spacing w:line="360" w:lineRule="auto"/>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单位</w:t>
            </w:r>
          </w:p>
        </w:tc>
        <w:tc>
          <w:tcPr>
            <w:tcW w:w="2170" w:type="dxa"/>
            <w:vAlign w:val="center"/>
          </w:tcPr>
          <w:p w14:paraId="711C7B83">
            <w:pPr>
              <w:numPr>
                <w:ilvl w:val="0"/>
                <w:numId w:val="0"/>
              </w:numPr>
              <w:spacing w:line="360" w:lineRule="auto"/>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主要用途说明</w:t>
            </w:r>
          </w:p>
        </w:tc>
      </w:tr>
      <w:tr w14:paraId="4F0E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791" w:type="dxa"/>
            <w:vAlign w:val="center"/>
          </w:tcPr>
          <w:p w14:paraId="7F7C2EDF">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1284" w:type="dxa"/>
            <w:vMerge w:val="restart"/>
            <w:vAlign w:val="center"/>
          </w:tcPr>
          <w:p w14:paraId="6CF21318">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边界</w:t>
            </w:r>
            <w:r>
              <w:rPr>
                <w:rFonts w:hint="eastAsia" w:ascii="仿宋_GB2312" w:hAnsi="仿宋_GB2312" w:eastAsia="仿宋_GB2312" w:cs="仿宋_GB2312"/>
                <w:sz w:val="21"/>
                <w:szCs w:val="21"/>
                <w:highlight w:val="none"/>
                <w:lang w:val="en-US" w:eastAsia="zh-CN"/>
              </w:rPr>
              <w:t>安全</w:t>
            </w:r>
            <w:r>
              <w:rPr>
                <w:rFonts w:hint="eastAsia" w:ascii="仿宋_GB2312" w:hAnsi="仿宋_GB2312" w:eastAsia="仿宋_GB2312" w:cs="仿宋_GB2312"/>
                <w:sz w:val="21"/>
                <w:szCs w:val="21"/>
                <w:highlight w:val="none"/>
              </w:rPr>
              <w:t>防护类</w:t>
            </w:r>
          </w:p>
        </w:tc>
        <w:tc>
          <w:tcPr>
            <w:tcW w:w="2626" w:type="dxa"/>
            <w:vAlign w:val="center"/>
          </w:tcPr>
          <w:p w14:paraId="39AC49F4">
            <w:pPr>
              <w:numPr>
                <w:ilvl w:val="0"/>
                <w:numId w:val="0"/>
              </w:numPr>
              <w:jc w:val="center"/>
              <w:rPr>
                <w:rFonts w:hint="eastAsia" w:ascii="仿宋_GB2312" w:hAnsi="仿宋_GB2312" w:eastAsia="仿宋_GB2312" w:cs="仿宋_GB2312"/>
                <w:sz w:val="21"/>
                <w:szCs w:val="21"/>
                <w:highlight w:val="none"/>
                <w:vertAlign w:val="baseline"/>
                <w:lang w:eastAsia="zh-CN"/>
              </w:rPr>
            </w:pPr>
            <w:r>
              <w:rPr>
                <w:rFonts w:hint="eastAsia" w:ascii="仿宋_GB2312" w:hAnsi="仿宋_GB2312" w:eastAsia="仿宋_GB2312" w:cs="仿宋_GB2312"/>
                <w:sz w:val="21"/>
                <w:szCs w:val="21"/>
                <w:highlight w:val="none"/>
                <w:lang w:val="en-US" w:eastAsia="zh-CN"/>
              </w:rPr>
              <w:t>外网边界</w:t>
            </w:r>
            <w:r>
              <w:rPr>
                <w:rFonts w:hint="eastAsia" w:ascii="仿宋_GB2312" w:hAnsi="仿宋_GB2312" w:eastAsia="仿宋_GB2312" w:cs="仿宋_GB2312"/>
                <w:sz w:val="21"/>
                <w:szCs w:val="21"/>
                <w:highlight w:val="none"/>
              </w:rPr>
              <w:t>出口防火墙</w:t>
            </w:r>
          </w:p>
        </w:tc>
        <w:tc>
          <w:tcPr>
            <w:tcW w:w="885" w:type="dxa"/>
            <w:vAlign w:val="center"/>
          </w:tcPr>
          <w:p w14:paraId="23134FE0">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57F9EEAD">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15F526CC">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互联网出口安全防护</w:t>
            </w:r>
          </w:p>
        </w:tc>
      </w:tr>
      <w:tr w14:paraId="0404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791" w:type="dxa"/>
            <w:vAlign w:val="center"/>
          </w:tcPr>
          <w:p w14:paraId="2F461CA0">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1284" w:type="dxa"/>
            <w:vMerge w:val="continue"/>
            <w:vAlign w:val="center"/>
          </w:tcPr>
          <w:p w14:paraId="51B7B769">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733A6E54">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lang w:val="en-US" w:eastAsia="zh-CN"/>
              </w:rPr>
              <w:t>外网</w:t>
            </w:r>
            <w:r>
              <w:rPr>
                <w:rFonts w:hint="eastAsia" w:ascii="仿宋_GB2312" w:hAnsi="仿宋_GB2312" w:eastAsia="仿宋_GB2312" w:cs="仿宋_GB2312"/>
                <w:sz w:val="21"/>
                <w:szCs w:val="21"/>
                <w:highlight w:val="none"/>
              </w:rPr>
              <w:t>上网行为管理</w:t>
            </w:r>
            <w:r>
              <w:rPr>
                <w:rFonts w:hint="eastAsia" w:ascii="仿宋_GB2312" w:hAnsi="仿宋_GB2312" w:eastAsia="仿宋_GB2312" w:cs="仿宋_GB2312"/>
                <w:sz w:val="21"/>
                <w:szCs w:val="21"/>
                <w:highlight w:val="none"/>
                <w:lang w:val="en-US" w:eastAsia="zh-CN"/>
              </w:rPr>
              <w:t>设备</w:t>
            </w:r>
          </w:p>
        </w:tc>
        <w:tc>
          <w:tcPr>
            <w:tcW w:w="885" w:type="dxa"/>
            <w:vAlign w:val="center"/>
          </w:tcPr>
          <w:p w14:paraId="7CB4C13C">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57B77452">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7D44D229">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全网终端上网行为管控与审计</w:t>
            </w:r>
          </w:p>
        </w:tc>
      </w:tr>
      <w:tr w14:paraId="2F63B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791" w:type="dxa"/>
            <w:vAlign w:val="center"/>
          </w:tcPr>
          <w:p w14:paraId="07EBF752">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3</w:t>
            </w:r>
          </w:p>
        </w:tc>
        <w:tc>
          <w:tcPr>
            <w:tcW w:w="1284" w:type="dxa"/>
            <w:vMerge w:val="continue"/>
            <w:vAlign w:val="center"/>
          </w:tcPr>
          <w:p w14:paraId="6F8B4DE5">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7ADA4679">
            <w:pPr>
              <w:numPr>
                <w:ilvl w:val="0"/>
                <w:numId w:val="0"/>
              </w:numPr>
              <w:jc w:val="center"/>
              <w:rPr>
                <w:rFonts w:hint="eastAsia" w:ascii="仿宋_GB2312" w:hAnsi="仿宋_GB2312" w:eastAsia="仿宋_GB2312" w:cs="仿宋_GB2312"/>
                <w:sz w:val="21"/>
                <w:szCs w:val="21"/>
                <w:highlight w:val="none"/>
                <w:vertAlign w:val="baseline"/>
                <w:lang w:eastAsia="zh-CN"/>
              </w:rPr>
            </w:pPr>
            <w:r>
              <w:rPr>
                <w:rFonts w:hint="eastAsia" w:ascii="仿宋_GB2312" w:hAnsi="仿宋_GB2312" w:eastAsia="仿宋_GB2312" w:cs="仿宋_GB2312"/>
                <w:sz w:val="21"/>
                <w:szCs w:val="21"/>
                <w:highlight w:val="none"/>
              </w:rPr>
              <w:t>Web应用防火墙</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WAF</w:t>
            </w:r>
            <w:r>
              <w:rPr>
                <w:rFonts w:hint="eastAsia" w:ascii="仿宋_GB2312" w:hAnsi="仿宋_GB2312" w:eastAsia="仿宋_GB2312" w:cs="仿宋_GB2312"/>
                <w:sz w:val="21"/>
                <w:szCs w:val="21"/>
                <w:highlight w:val="none"/>
                <w:lang w:eastAsia="zh-CN"/>
              </w:rPr>
              <w:t>）</w:t>
            </w:r>
          </w:p>
        </w:tc>
        <w:tc>
          <w:tcPr>
            <w:tcW w:w="885" w:type="dxa"/>
            <w:vAlign w:val="center"/>
          </w:tcPr>
          <w:p w14:paraId="18787520">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7279F4E3">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69497113">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DMZ区对外业务系统安全防护</w:t>
            </w:r>
          </w:p>
        </w:tc>
      </w:tr>
      <w:tr w14:paraId="58DE3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791" w:type="dxa"/>
            <w:vAlign w:val="center"/>
          </w:tcPr>
          <w:p w14:paraId="4E24795F">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4</w:t>
            </w:r>
          </w:p>
        </w:tc>
        <w:tc>
          <w:tcPr>
            <w:tcW w:w="1284" w:type="dxa"/>
            <w:vMerge w:val="continue"/>
            <w:vAlign w:val="center"/>
          </w:tcPr>
          <w:p w14:paraId="7E844A75">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0284FB52">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内外网隔离网闸</w:t>
            </w:r>
          </w:p>
        </w:tc>
        <w:tc>
          <w:tcPr>
            <w:tcW w:w="885" w:type="dxa"/>
            <w:vAlign w:val="center"/>
          </w:tcPr>
          <w:p w14:paraId="35028506">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6A557AC8">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3F4C8987">
            <w:pPr>
              <w:numPr>
                <w:ilvl w:val="0"/>
                <w:numId w:val="0"/>
              </w:numPr>
              <w:jc w:val="left"/>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内外网</w:t>
            </w:r>
            <w:r>
              <w:rPr>
                <w:rFonts w:hint="eastAsia" w:ascii="仿宋_GB2312" w:hAnsi="仿宋_GB2312" w:eastAsia="仿宋_GB2312" w:cs="仿宋_GB2312"/>
                <w:sz w:val="21"/>
                <w:szCs w:val="21"/>
                <w:highlight w:val="none"/>
              </w:rPr>
              <w:t>物理层隔离</w:t>
            </w:r>
          </w:p>
        </w:tc>
      </w:tr>
      <w:tr w14:paraId="27D1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791" w:type="dxa"/>
            <w:vAlign w:val="center"/>
          </w:tcPr>
          <w:p w14:paraId="273303D6">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5</w:t>
            </w:r>
          </w:p>
        </w:tc>
        <w:tc>
          <w:tcPr>
            <w:tcW w:w="1284" w:type="dxa"/>
            <w:vMerge w:val="continue"/>
            <w:vAlign w:val="center"/>
          </w:tcPr>
          <w:p w14:paraId="31D2EA9E">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34682071">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光华院区内网边界防火墙</w:t>
            </w:r>
          </w:p>
        </w:tc>
        <w:tc>
          <w:tcPr>
            <w:tcW w:w="885" w:type="dxa"/>
            <w:vAlign w:val="center"/>
          </w:tcPr>
          <w:p w14:paraId="2E47813E">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3C5D40D2">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4BA423B5">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院区内网出口安全防护</w:t>
            </w:r>
          </w:p>
        </w:tc>
      </w:tr>
      <w:tr w14:paraId="410C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91" w:type="dxa"/>
            <w:vAlign w:val="center"/>
          </w:tcPr>
          <w:p w14:paraId="3972D4A1">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6</w:t>
            </w:r>
          </w:p>
        </w:tc>
        <w:tc>
          <w:tcPr>
            <w:tcW w:w="1284" w:type="dxa"/>
            <w:vMerge w:val="continue"/>
            <w:vAlign w:val="center"/>
          </w:tcPr>
          <w:p w14:paraId="0F51816A">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33A73025">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安全运维管理区防火墙</w:t>
            </w:r>
          </w:p>
        </w:tc>
        <w:tc>
          <w:tcPr>
            <w:tcW w:w="885" w:type="dxa"/>
            <w:vAlign w:val="center"/>
          </w:tcPr>
          <w:p w14:paraId="6120A0AA">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1C309780">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771C8517">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运维区数据防护与访问管控</w:t>
            </w:r>
          </w:p>
        </w:tc>
      </w:tr>
      <w:tr w14:paraId="0F6B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91" w:type="dxa"/>
            <w:vAlign w:val="center"/>
          </w:tcPr>
          <w:p w14:paraId="25BD700A">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7</w:t>
            </w:r>
          </w:p>
        </w:tc>
        <w:tc>
          <w:tcPr>
            <w:tcW w:w="1284" w:type="dxa"/>
            <w:vMerge w:val="restart"/>
            <w:vAlign w:val="center"/>
          </w:tcPr>
          <w:p w14:paraId="02B8CC91">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区域隔离与终端防护类</w:t>
            </w:r>
          </w:p>
        </w:tc>
        <w:tc>
          <w:tcPr>
            <w:tcW w:w="2626" w:type="dxa"/>
            <w:vAlign w:val="center"/>
          </w:tcPr>
          <w:p w14:paraId="4162B86F">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内网</w:t>
            </w:r>
            <w:r>
              <w:rPr>
                <w:rFonts w:hint="eastAsia" w:ascii="仿宋_GB2312" w:hAnsi="仿宋_GB2312" w:eastAsia="仿宋_GB2312" w:cs="仿宋_GB2312"/>
                <w:sz w:val="21"/>
                <w:szCs w:val="21"/>
                <w:highlight w:val="none"/>
                <w:lang w:val="en-US" w:eastAsia="zh-CN"/>
              </w:rPr>
              <w:t>主</w:t>
            </w:r>
            <w:r>
              <w:rPr>
                <w:rFonts w:hint="eastAsia" w:ascii="仿宋_GB2312" w:hAnsi="仿宋_GB2312" w:eastAsia="仿宋_GB2312" w:cs="仿宋_GB2312"/>
                <w:sz w:val="21"/>
                <w:szCs w:val="21"/>
                <w:highlight w:val="none"/>
              </w:rPr>
              <w:t>数据中心防火墙</w:t>
            </w:r>
          </w:p>
        </w:tc>
        <w:tc>
          <w:tcPr>
            <w:tcW w:w="885" w:type="dxa"/>
            <w:vAlign w:val="center"/>
          </w:tcPr>
          <w:p w14:paraId="2C972F9B">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6A425DDF">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33E28F28">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双机热备</w:t>
            </w:r>
            <w:r>
              <w:rPr>
                <w:rFonts w:hint="eastAsia" w:ascii="仿宋_GB2312" w:hAnsi="仿宋_GB2312" w:eastAsia="仿宋_GB2312" w:cs="仿宋_GB2312"/>
                <w:sz w:val="21"/>
                <w:szCs w:val="21"/>
                <w:highlight w:val="none"/>
                <w:lang w:val="en-US" w:eastAsia="zh-CN"/>
              </w:rPr>
              <w:t>实现数据中心安全防护（主中心）</w:t>
            </w:r>
          </w:p>
        </w:tc>
      </w:tr>
      <w:tr w14:paraId="3F9C9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91" w:type="dxa"/>
            <w:vAlign w:val="center"/>
          </w:tcPr>
          <w:p w14:paraId="77CBE9E0">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8</w:t>
            </w:r>
          </w:p>
        </w:tc>
        <w:tc>
          <w:tcPr>
            <w:tcW w:w="1284" w:type="dxa"/>
            <w:vMerge w:val="continue"/>
            <w:vAlign w:val="center"/>
          </w:tcPr>
          <w:p w14:paraId="6BA09BA4">
            <w:pPr>
              <w:numPr>
                <w:ilvl w:val="0"/>
                <w:numId w:val="0"/>
              </w:numPr>
              <w:jc w:val="center"/>
              <w:rPr>
                <w:rFonts w:hint="eastAsia" w:ascii="仿宋_GB2312" w:hAnsi="仿宋_GB2312" w:eastAsia="仿宋_GB2312" w:cs="仿宋_GB2312"/>
                <w:sz w:val="21"/>
                <w:szCs w:val="21"/>
                <w:highlight w:val="none"/>
              </w:rPr>
            </w:pPr>
          </w:p>
        </w:tc>
        <w:tc>
          <w:tcPr>
            <w:tcW w:w="2626" w:type="dxa"/>
            <w:vAlign w:val="center"/>
          </w:tcPr>
          <w:p w14:paraId="7B5B3CB9">
            <w:pPr>
              <w:numPr>
                <w:ilvl w:val="0"/>
                <w:numId w:val="0"/>
              </w:num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内网双活数据中心防火墙</w:t>
            </w:r>
          </w:p>
        </w:tc>
        <w:tc>
          <w:tcPr>
            <w:tcW w:w="885" w:type="dxa"/>
            <w:vAlign w:val="center"/>
          </w:tcPr>
          <w:p w14:paraId="07CF6E04">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60D227D9">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4F6E6147">
            <w:pPr>
              <w:numPr>
                <w:ilvl w:val="0"/>
                <w:numId w:val="0"/>
              </w:numPr>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双机热备</w:t>
            </w:r>
            <w:r>
              <w:rPr>
                <w:rFonts w:hint="eastAsia" w:ascii="仿宋_GB2312" w:hAnsi="仿宋_GB2312" w:eastAsia="仿宋_GB2312" w:cs="仿宋_GB2312"/>
                <w:sz w:val="21"/>
                <w:szCs w:val="21"/>
                <w:highlight w:val="none"/>
                <w:lang w:val="en-US" w:eastAsia="zh-CN"/>
              </w:rPr>
              <w:t>实现业务安全防护（备中心）</w:t>
            </w:r>
          </w:p>
        </w:tc>
      </w:tr>
      <w:tr w14:paraId="2639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791" w:type="dxa"/>
            <w:vAlign w:val="center"/>
          </w:tcPr>
          <w:p w14:paraId="69B32DDD">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9</w:t>
            </w:r>
          </w:p>
        </w:tc>
        <w:tc>
          <w:tcPr>
            <w:tcW w:w="1284" w:type="dxa"/>
            <w:vMerge w:val="continue"/>
            <w:vAlign w:val="center"/>
          </w:tcPr>
          <w:p w14:paraId="784465D7">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7D94D029">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内网物联网防火墙</w:t>
            </w:r>
          </w:p>
        </w:tc>
        <w:tc>
          <w:tcPr>
            <w:tcW w:w="885" w:type="dxa"/>
            <w:vAlign w:val="center"/>
          </w:tcPr>
          <w:p w14:paraId="336E6155">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67996C0C">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7345C8C1">
            <w:pPr>
              <w:numPr>
                <w:ilvl w:val="0"/>
                <w:numId w:val="0"/>
              </w:numPr>
              <w:jc w:val="left"/>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物联网区隔离</w:t>
            </w:r>
          </w:p>
        </w:tc>
      </w:tr>
      <w:tr w14:paraId="196A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791" w:type="dxa"/>
            <w:vAlign w:val="center"/>
          </w:tcPr>
          <w:p w14:paraId="111728A6">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10</w:t>
            </w:r>
          </w:p>
        </w:tc>
        <w:tc>
          <w:tcPr>
            <w:tcW w:w="1284" w:type="dxa"/>
            <w:vMerge w:val="continue"/>
            <w:vAlign w:val="center"/>
          </w:tcPr>
          <w:p w14:paraId="49051B7B">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0CCFDFD1">
            <w:pPr>
              <w:numPr>
                <w:ilvl w:val="0"/>
                <w:numId w:val="0"/>
              </w:num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物联网网闸</w:t>
            </w:r>
          </w:p>
        </w:tc>
        <w:tc>
          <w:tcPr>
            <w:tcW w:w="885" w:type="dxa"/>
            <w:vAlign w:val="center"/>
          </w:tcPr>
          <w:p w14:paraId="25F5BF47">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21F9F8B3">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411BFF23">
            <w:pPr>
              <w:numPr>
                <w:ilvl w:val="0"/>
                <w:numId w:val="0"/>
              </w:numPr>
              <w:jc w:val="left"/>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物联设备物理隔离与安全管控</w:t>
            </w:r>
          </w:p>
        </w:tc>
      </w:tr>
      <w:tr w14:paraId="49F7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791" w:type="dxa"/>
            <w:vAlign w:val="center"/>
          </w:tcPr>
          <w:p w14:paraId="76E6FD5D">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11</w:t>
            </w:r>
          </w:p>
        </w:tc>
        <w:tc>
          <w:tcPr>
            <w:tcW w:w="1284" w:type="dxa"/>
            <w:vMerge w:val="continue"/>
            <w:vAlign w:val="center"/>
          </w:tcPr>
          <w:p w14:paraId="6B87B9C4">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4373B749">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终端杀毒防护系统（EDR）</w:t>
            </w:r>
          </w:p>
        </w:tc>
        <w:tc>
          <w:tcPr>
            <w:tcW w:w="885" w:type="dxa"/>
            <w:vAlign w:val="center"/>
          </w:tcPr>
          <w:p w14:paraId="20D63171">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613649F3">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套</w:t>
            </w:r>
          </w:p>
        </w:tc>
        <w:tc>
          <w:tcPr>
            <w:tcW w:w="2170" w:type="dxa"/>
            <w:vAlign w:val="center"/>
          </w:tcPr>
          <w:p w14:paraId="122E80F2">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lang w:val="en-US" w:eastAsia="zh-CN"/>
              </w:rPr>
              <w:t>覆盖约1000台PC及500台服务器</w:t>
            </w:r>
          </w:p>
        </w:tc>
      </w:tr>
      <w:tr w14:paraId="0713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791" w:type="dxa"/>
            <w:vAlign w:val="center"/>
          </w:tcPr>
          <w:p w14:paraId="5A1C3C33">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12</w:t>
            </w:r>
          </w:p>
        </w:tc>
        <w:tc>
          <w:tcPr>
            <w:tcW w:w="1284" w:type="dxa"/>
            <w:vMerge w:val="continue"/>
            <w:vAlign w:val="center"/>
          </w:tcPr>
          <w:p w14:paraId="38A81F70">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02D020EA">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内网</w:t>
            </w:r>
            <w:r>
              <w:rPr>
                <w:rFonts w:hint="eastAsia" w:ascii="仿宋_GB2312" w:hAnsi="仿宋_GB2312" w:eastAsia="仿宋_GB2312" w:cs="仿宋_GB2312"/>
                <w:sz w:val="21"/>
                <w:szCs w:val="21"/>
                <w:highlight w:val="none"/>
                <w:lang w:val="en-US" w:eastAsia="zh-CN"/>
              </w:rPr>
              <w:t>终端</w:t>
            </w:r>
            <w:r>
              <w:rPr>
                <w:rFonts w:hint="eastAsia" w:ascii="仿宋_GB2312" w:hAnsi="仿宋_GB2312" w:eastAsia="仿宋_GB2312" w:cs="仿宋_GB2312"/>
                <w:sz w:val="21"/>
                <w:szCs w:val="21"/>
                <w:highlight w:val="none"/>
              </w:rPr>
              <w:t>准入设备</w:t>
            </w:r>
          </w:p>
        </w:tc>
        <w:tc>
          <w:tcPr>
            <w:tcW w:w="885" w:type="dxa"/>
            <w:vAlign w:val="center"/>
          </w:tcPr>
          <w:p w14:paraId="5BABDDE8">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983" w:type="dxa"/>
            <w:vAlign w:val="center"/>
          </w:tcPr>
          <w:p w14:paraId="57AD7F03">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131B3A47">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内网终端访问控制与合规检查</w:t>
            </w:r>
          </w:p>
        </w:tc>
      </w:tr>
      <w:tr w14:paraId="348B5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791" w:type="dxa"/>
            <w:vAlign w:val="center"/>
          </w:tcPr>
          <w:p w14:paraId="7A99A23E">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13</w:t>
            </w:r>
          </w:p>
        </w:tc>
        <w:tc>
          <w:tcPr>
            <w:tcW w:w="1284" w:type="dxa"/>
            <w:vMerge w:val="restart"/>
            <w:vAlign w:val="center"/>
          </w:tcPr>
          <w:p w14:paraId="52999505">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数据安全与审计类</w:t>
            </w:r>
          </w:p>
        </w:tc>
        <w:tc>
          <w:tcPr>
            <w:tcW w:w="2626" w:type="dxa"/>
            <w:vAlign w:val="center"/>
          </w:tcPr>
          <w:p w14:paraId="2816BE28">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堡垒机</w:t>
            </w:r>
          </w:p>
        </w:tc>
        <w:tc>
          <w:tcPr>
            <w:tcW w:w="885" w:type="dxa"/>
            <w:vAlign w:val="center"/>
          </w:tcPr>
          <w:p w14:paraId="516C21D9">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3E35A50A">
            <w:pPr>
              <w:numPr>
                <w:ilvl w:val="0"/>
                <w:numId w:val="0"/>
              </w:num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65CA4448">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运维访问审计与权限管控</w:t>
            </w:r>
          </w:p>
        </w:tc>
      </w:tr>
      <w:tr w14:paraId="0D50F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791" w:type="dxa"/>
            <w:vAlign w:val="center"/>
          </w:tcPr>
          <w:p w14:paraId="2E0FCE99">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14</w:t>
            </w:r>
          </w:p>
        </w:tc>
        <w:tc>
          <w:tcPr>
            <w:tcW w:w="1284" w:type="dxa"/>
            <w:vMerge w:val="continue"/>
            <w:vAlign w:val="center"/>
          </w:tcPr>
          <w:p w14:paraId="2A27AD7F">
            <w:pPr>
              <w:numPr>
                <w:ilvl w:val="0"/>
                <w:numId w:val="0"/>
              </w:numPr>
              <w:jc w:val="center"/>
              <w:rPr>
                <w:rFonts w:hint="eastAsia" w:ascii="仿宋_GB2312" w:hAnsi="仿宋_GB2312" w:eastAsia="仿宋_GB2312" w:cs="仿宋_GB2312"/>
                <w:sz w:val="21"/>
                <w:szCs w:val="21"/>
                <w:highlight w:val="none"/>
              </w:rPr>
            </w:pPr>
          </w:p>
        </w:tc>
        <w:tc>
          <w:tcPr>
            <w:tcW w:w="2626" w:type="dxa"/>
            <w:vAlign w:val="center"/>
          </w:tcPr>
          <w:p w14:paraId="15C34CF4">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数据库审计设备</w:t>
            </w:r>
          </w:p>
        </w:tc>
        <w:tc>
          <w:tcPr>
            <w:tcW w:w="885" w:type="dxa"/>
            <w:vAlign w:val="center"/>
          </w:tcPr>
          <w:p w14:paraId="43F0414F">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1875FD1F">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55254E9B">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数据库访问行为审计与告警</w:t>
            </w:r>
          </w:p>
        </w:tc>
      </w:tr>
      <w:tr w14:paraId="2036E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791" w:type="dxa"/>
            <w:vAlign w:val="center"/>
          </w:tcPr>
          <w:p w14:paraId="21FF2E8A">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15</w:t>
            </w:r>
          </w:p>
        </w:tc>
        <w:tc>
          <w:tcPr>
            <w:tcW w:w="1284" w:type="dxa"/>
            <w:vMerge w:val="continue"/>
            <w:vAlign w:val="center"/>
          </w:tcPr>
          <w:p w14:paraId="43151E16">
            <w:pPr>
              <w:numPr>
                <w:ilvl w:val="0"/>
                <w:numId w:val="0"/>
              </w:numPr>
              <w:jc w:val="center"/>
              <w:rPr>
                <w:rFonts w:hint="eastAsia" w:ascii="仿宋_GB2312" w:hAnsi="仿宋_GB2312" w:eastAsia="仿宋_GB2312" w:cs="仿宋_GB2312"/>
                <w:sz w:val="21"/>
                <w:szCs w:val="21"/>
                <w:highlight w:val="none"/>
              </w:rPr>
            </w:pPr>
          </w:p>
        </w:tc>
        <w:tc>
          <w:tcPr>
            <w:tcW w:w="2626" w:type="dxa"/>
            <w:vAlign w:val="center"/>
          </w:tcPr>
          <w:p w14:paraId="27F9A1E0">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数据库防火墙设备</w:t>
            </w:r>
          </w:p>
        </w:tc>
        <w:tc>
          <w:tcPr>
            <w:tcW w:w="885" w:type="dxa"/>
            <w:vAlign w:val="center"/>
          </w:tcPr>
          <w:p w14:paraId="33C668BF">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0AE417C9">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2154592F">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做内网流量监测安全访问隔离</w:t>
            </w:r>
          </w:p>
        </w:tc>
      </w:tr>
      <w:tr w14:paraId="1F70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791" w:type="dxa"/>
            <w:vAlign w:val="center"/>
          </w:tcPr>
          <w:p w14:paraId="173573BA">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16</w:t>
            </w:r>
          </w:p>
        </w:tc>
        <w:tc>
          <w:tcPr>
            <w:tcW w:w="1284" w:type="dxa"/>
            <w:vMerge w:val="continue"/>
            <w:vAlign w:val="center"/>
          </w:tcPr>
          <w:p w14:paraId="57B1978E">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1EA8D307">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零信任</w:t>
            </w:r>
            <w:r>
              <w:rPr>
                <w:rFonts w:hint="eastAsia" w:ascii="仿宋_GB2312" w:hAnsi="仿宋_GB2312" w:eastAsia="仿宋_GB2312" w:cs="仿宋_GB2312"/>
                <w:sz w:val="21"/>
                <w:szCs w:val="21"/>
                <w:highlight w:val="none"/>
                <w:lang w:val="en-US" w:eastAsia="zh-CN"/>
              </w:rPr>
              <w:t>授权采购</w:t>
            </w:r>
          </w:p>
        </w:tc>
        <w:tc>
          <w:tcPr>
            <w:tcW w:w="885" w:type="dxa"/>
            <w:vAlign w:val="center"/>
          </w:tcPr>
          <w:p w14:paraId="058B14CD">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694DC20A">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套</w:t>
            </w:r>
          </w:p>
        </w:tc>
        <w:tc>
          <w:tcPr>
            <w:tcW w:w="2170" w:type="dxa"/>
            <w:vAlign w:val="center"/>
          </w:tcPr>
          <w:p w14:paraId="57EDCFA3">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对现有平台进行授权点数扩容</w:t>
            </w:r>
          </w:p>
        </w:tc>
      </w:tr>
      <w:tr w14:paraId="6813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1" w:type="dxa"/>
            <w:vAlign w:val="center"/>
          </w:tcPr>
          <w:p w14:paraId="0D86CD34">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17</w:t>
            </w:r>
          </w:p>
        </w:tc>
        <w:tc>
          <w:tcPr>
            <w:tcW w:w="1284" w:type="dxa"/>
            <w:vMerge w:val="restart"/>
            <w:vAlign w:val="center"/>
          </w:tcPr>
          <w:p w14:paraId="156BC598">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流量监测类</w:t>
            </w:r>
          </w:p>
        </w:tc>
        <w:tc>
          <w:tcPr>
            <w:tcW w:w="2626" w:type="dxa"/>
            <w:vAlign w:val="center"/>
          </w:tcPr>
          <w:p w14:paraId="453DF7C8">
            <w:pPr>
              <w:numPr>
                <w:ilvl w:val="0"/>
                <w:numId w:val="0"/>
              </w:num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外网流量监测探针</w:t>
            </w:r>
          </w:p>
        </w:tc>
        <w:tc>
          <w:tcPr>
            <w:tcW w:w="885" w:type="dxa"/>
            <w:vAlign w:val="center"/>
          </w:tcPr>
          <w:p w14:paraId="7854C82A">
            <w:pPr>
              <w:numPr>
                <w:ilvl w:val="0"/>
                <w:numId w:val="0"/>
              </w:numPr>
              <w:jc w:val="center"/>
              <w:rPr>
                <w:rFonts w:hint="eastAsia" w:ascii="仿宋_GB2312" w:hAnsi="仿宋_GB2312" w:eastAsia="仿宋_GB2312" w:cs="仿宋_GB2312"/>
                <w:sz w:val="21"/>
                <w:szCs w:val="21"/>
                <w:highlight w:val="none"/>
                <w:vertAlign w:val="baseline"/>
                <w:lang w:eastAsia="zh-CN"/>
              </w:rPr>
            </w:pPr>
            <w:r>
              <w:rPr>
                <w:rFonts w:hint="eastAsia" w:ascii="仿宋_GB2312" w:hAnsi="仿宋_GB2312" w:eastAsia="仿宋_GB2312" w:cs="仿宋_GB2312"/>
                <w:sz w:val="21"/>
                <w:szCs w:val="21"/>
                <w:highlight w:val="none"/>
                <w:lang w:val="en-US" w:eastAsia="zh-CN"/>
              </w:rPr>
              <w:t>1</w:t>
            </w:r>
          </w:p>
        </w:tc>
        <w:tc>
          <w:tcPr>
            <w:tcW w:w="983" w:type="dxa"/>
            <w:vAlign w:val="center"/>
          </w:tcPr>
          <w:p w14:paraId="1BD1CD1F">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69A833ED">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对外网区域流量进行收集、识别与异常监测</w:t>
            </w:r>
          </w:p>
        </w:tc>
      </w:tr>
      <w:tr w14:paraId="31AA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791" w:type="dxa"/>
            <w:vAlign w:val="center"/>
          </w:tcPr>
          <w:p w14:paraId="75E7BE3F">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18</w:t>
            </w:r>
          </w:p>
        </w:tc>
        <w:tc>
          <w:tcPr>
            <w:tcW w:w="1284" w:type="dxa"/>
            <w:vMerge w:val="continue"/>
            <w:vAlign w:val="center"/>
          </w:tcPr>
          <w:p w14:paraId="392983F7">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Merge w:val="restart"/>
            <w:vAlign w:val="center"/>
          </w:tcPr>
          <w:p w14:paraId="2CFAC659">
            <w:pPr>
              <w:numPr>
                <w:ilvl w:val="0"/>
                <w:numId w:val="0"/>
              </w:num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内网流量监测探针</w:t>
            </w:r>
          </w:p>
        </w:tc>
        <w:tc>
          <w:tcPr>
            <w:tcW w:w="885" w:type="dxa"/>
            <w:vMerge w:val="restart"/>
            <w:vAlign w:val="center"/>
          </w:tcPr>
          <w:p w14:paraId="40C1B231">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Merge w:val="restart"/>
            <w:vAlign w:val="center"/>
          </w:tcPr>
          <w:p w14:paraId="77E06EB2">
            <w:pPr>
              <w:numPr>
                <w:ilvl w:val="0"/>
                <w:numId w:val="0"/>
              </w:num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台</w:t>
            </w:r>
          </w:p>
        </w:tc>
        <w:tc>
          <w:tcPr>
            <w:tcW w:w="2170" w:type="dxa"/>
            <w:vMerge w:val="restart"/>
            <w:vAlign w:val="center"/>
          </w:tcPr>
          <w:p w14:paraId="258E0BB2">
            <w:pPr>
              <w:numPr>
                <w:ilvl w:val="0"/>
                <w:numId w:val="0"/>
              </w:numPr>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vertAlign w:val="baseline"/>
                <w:lang w:val="en-US" w:eastAsia="zh-CN"/>
              </w:rPr>
              <w:t>对内网区域流量进行收集、识别与异常监测</w:t>
            </w:r>
          </w:p>
        </w:tc>
      </w:tr>
      <w:tr w14:paraId="14C4C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91" w:type="dxa"/>
            <w:vMerge w:val="restart"/>
            <w:vAlign w:val="center"/>
          </w:tcPr>
          <w:p w14:paraId="7CC51A3B">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19</w:t>
            </w:r>
          </w:p>
        </w:tc>
        <w:tc>
          <w:tcPr>
            <w:tcW w:w="1284" w:type="dxa"/>
            <w:vMerge w:val="continue"/>
            <w:vAlign w:val="center"/>
          </w:tcPr>
          <w:p w14:paraId="31906F92">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Merge w:val="continue"/>
            <w:vAlign w:val="center"/>
          </w:tcPr>
          <w:p w14:paraId="7CBC5784">
            <w:pPr>
              <w:numPr>
                <w:ilvl w:val="0"/>
                <w:numId w:val="0"/>
              </w:numPr>
              <w:jc w:val="center"/>
              <w:rPr>
                <w:rFonts w:hint="eastAsia" w:ascii="仿宋_GB2312" w:hAnsi="仿宋_GB2312" w:eastAsia="仿宋_GB2312" w:cs="仿宋_GB2312"/>
                <w:sz w:val="21"/>
                <w:szCs w:val="21"/>
                <w:highlight w:val="none"/>
                <w:lang w:val="en-US" w:eastAsia="zh-CN"/>
              </w:rPr>
            </w:pPr>
          </w:p>
        </w:tc>
        <w:tc>
          <w:tcPr>
            <w:tcW w:w="885" w:type="dxa"/>
            <w:vMerge w:val="continue"/>
            <w:vAlign w:val="center"/>
          </w:tcPr>
          <w:p w14:paraId="3C2E41A8">
            <w:pPr>
              <w:numPr>
                <w:ilvl w:val="0"/>
                <w:numId w:val="0"/>
              </w:numPr>
              <w:jc w:val="center"/>
              <w:rPr>
                <w:rFonts w:hint="eastAsia" w:ascii="仿宋_GB2312" w:hAnsi="仿宋_GB2312" w:eastAsia="仿宋_GB2312" w:cs="仿宋_GB2312"/>
                <w:sz w:val="21"/>
                <w:szCs w:val="21"/>
                <w:highlight w:val="none"/>
                <w:vertAlign w:val="baseline"/>
                <w:lang w:val="en-US" w:eastAsia="zh-CN"/>
              </w:rPr>
            </w:pPr>
          </w:p>
        </w:tc>
        <w:tc>
          <w:tcPr>
            <w:tcW w:w="983" w:type="dxa"/>
            <w:vMerge w:val="continue"/>
            <w:vAlign w:val="center"/>
          </w:tcPr>
          <w:p w14:paraId="40BE2526">
            <w:pPr>
              <w:numPr>
                <w:ilvl w:val="0"/>
                <w:numId w:val="0"/>
              </w:numPr>
              <w:jc w:val="center"/>
              <w:rPr>
                <w:rFonts w:hint="eastAsia" w:ascii="仿宋_GB2312" w:hAnsi="仿宋_GB2312" w:eastAsia="仿宋_GB2312" w:cs="仿宋_GB2312"/>
                <w:sz w:val="21"/>
                <w:szCs w:val="21"/>
                <w:highlight w:val="none"/>
                <w:lang w:val="en-US" w:eastAsia="zh-CN"/>
              </w:rPr>
            </w:pPr>
          </w:p>
        </w:tc>
        <w:tc>
          <w:tcPr>
            <w:tcW w:w="2170" w:type="dxa"/>
            <w:vMerge w:val="continue"/>
            <w:vAlign w:val="center"/>
          </w:tcPr>
          <w:p w14:paraId="1802B2A6">
            <w:pPr>
              <w:numPr>
                <w:ilvl w:val="0"/>
                <w:numId w:val="0"/>
              </w:numPr>
              <w:jc w:val="left"/>
              <w:rPr>
                <w:rFonts w:hint="eastAsia" w:ascii="仿宋_GB2312" w:hAnsi="仿宋_GB2312" w:eastAsia="仿宋_GB2312" w:cs="仿宋_GB2312"/>
                <w:sz w:val="21"/>
                <w:szCs w:val="21"/>
                <w:highlight w:val="none"/>
                <w:vertAlign w:val="baseline"/>
                <w:lang w:val="en-US" w:eastAsia="zh-CN"/>
              </w:rPr>
            </w:pPr>
          </w:p>
        </w:tc>
      </w:tr>
      <w:tr w14:paraId="179C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91" w:type="dxa"/>
            <w:vMerge w:val="continue"/>
            <w:vAlign w:val="center"/>
          </w:tcPr>
          <w:p w14:paraId="44402BAA">
            <w:pPr>
              <w:numPr>
                <w:ilvl w:val="0"/>
                <w:numId w:val="0"/>
              </w:numPr>
              <w:jc w:val="center"/>
              <w:rPr>
                <w:rFonts w:hint="eastAsia" w:ascii="仿宋_GB2312" w:hAnsi="仿宋_GB2312" w:eastAsia="仿宋_GB2312" w:cs="仿宋_GB2312"/>
                <w:sz w:val="21"/>
                <w:szCs w:val="21"/>
                <w:highlight w:val="none"/>
                <w:vertAlign w:val="baseline"/>
                <w:lang w:val="en-US" w:eastAsia="zh-CN"/>
              </w:rPr>
            </w:pPr>
          </w:p>
        </w:tc>
        <w:tc>
          <w:tcPr>
            <w:tcW w:w="1284" w:type="dxa"/>
            <w:vMerge w:val="continue"/>
            <w:vAlign w:val="center"/>
          </w:tcPr>
          <w:p w14:paraId="3C564B33">
            <w:pPr>
              <w:numPr>
                <w:ilvl w:val="0"/>
                <w:numId w:val="0"/>
              </w:numPr>
              <w:jc w:val="center"/>
              <w:rPr>
                <w:rFonts w:hint="eastAsia" w:ascii="仿宋_GB2312" w:hAnsi="仿宋_GB2312" w:eastAsia="仿宋_GB2312" w:cs="仿宋_GB2312"/>
                <w:sz w:val="21"/>
                <w:szCs w:val="21"/>
                <w:highlight w:val="none"/>
                <w:vertAlign w:val="baseline"/>
              </w:rPr>
            </w:pPr>
          </w:p>
        </w:tc>
        <w:tc>
          <w:tcPr>
            <w:tcW w:w="2626" w:type="dxa"/>
            <w:vAlign w:val="center"/>
          </w:tcPr>
          <w:p w14:paraId="529E48EF">
            <w:pPr>
              <w:numPr>
                <w:ilvl w:val="0"/>
                <w:numId w:val="0"/>
              </w:numPr>
              <w:jc w:val="center"/>
              <w:rPr>
                <w:rFonts w:hint="default" w:ascii="仿宋_GB2312" w:hAnsi="仿宋_GB2312" w:eastAsia="仿宋_GB2312" w:cs="仿宋_GB2312"/>
                <w:sz w:val="21"/>
                <w:szCs w:val="21"/>
                <w:highlight w:val="none"/>
                <w:lang w:val="en-US" w:eastAsia="zh-CN"/>
              </w:rPr>
            </w:pPr>
            <w:r>
              <w:rPr>
                <w:rFonts w:hint="default" w:ascii="仿宋_GB2312" w:hAnsi="仿宋_GB2312" w:eastAsia="仿宋_GB2312" w:cs="仿宋_GB2312"/>
                <w:sz w:val="21"/>
                <w:szCs w:val="21"/>
                <w:highlight w:val="none"/>
                <w:lang w:val="en-US" w:eastAsia="zh-CN"/>
              </w:rPr>
              <w:t>TAP</w:t>
            </w:r>
            <w:r>
              <w:rPr>
                <w:rFonts w:hint="eastAsia" w:ascii="仿宋_GB2312" w:hAnsi="仿宋_GB2312" w:eastAsia="仿宋_GB2312" w:cs="仿宋_GB2312"/>
                <w:sz w:val="21"/>
                <w:szCs w:val="21"/>
                <w:highlight w:val="none"/>
                <w:lang w:val="en-US" w:eastAsia="zh-CN"/>
              </w:rPr>
              <w:t>交换机</w:t>
            </w:r>
          </w:p>
        </w:tc>
        <w:tc>
          <w:tcPr>
            <w:tcW w:w="885" w:type="dxa"/>
            <w:vAlign w:val="center"/>
          </w:tcPr>
          <w:p w14:paraId="0694C588">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48DD8036">
            <w:pPr>
              <w:numPr>
                <w:ilvl w:val="0"/>
                <w:numId w:val="0"/>
              </w:num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台</w:t>
            </w:r>
          </w:p>
        </w:tc>
        <w:tc>
          <w:tcPr>
            <w:tcW w:w="2170" w:type="dxa"/>
            <w:vAlign w:val="center"/>
          </w:tcPr>
          <w:p w14:paraId="00F25DF2">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探针配套交换机设备</w:t>
            </w:r>
          </w:p>
        </w:tc>
      </w:tr>
      <w:tr w14:paraId="44E1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91" w:type="dxa"/>
            <w:vAlign w:val="center"/>
          </w:tcPr>
          <w:p w14:paraId="18424392">
            <w:pPr>
              <w:numPr>
                <w:ilvl w:val="0"/>
                <w:numId w:val="0"/>
              </w:numPr>
              <w:ind w:left="0" w:leftChars="0" w:firstLine="0" w:firstLineChars="0"/>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20</w:t>
            </w:r>
          </w:p>
        </w:tc>
        <w:tc>
          <w:tcPr>
            <w:tcW w:w="1284" w:type="dxa"/>
            <w:vAlign w:val="center"/>
          </w:tcPr>
          <w:p w14:paraId="3B06562A">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存储资源类</w:t>
            </w:r>
          </w:p>
        </w:tc>
        <w:tc>
          <w:tcPr>
            <w:tcW w:w="2626" w:type="dxa"/>
            <w:vAlign w:val="center"/>
          </w:tcPr>
          <w:p w14:paraId="458A2A1E">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分布式存储资源池</w:t>
            </w:r>
          </w:p>
        </w:tc>
        <w:tc>
          <w:tcPr>
            <w:tcW w:w="885" w:type="dxa"/>
            <w:vAlign w:val="center"/>
          </w:tcPr>
          <w:p w14:paraId="333DF787">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507A823A">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套</w:t>
            </w:r>
          </w:p>
        </w:tc>
        <w:tc>
          <w:tcPr>
            <w:tcW w:w="2170" w:type="dxa"/>
            <w:vAlign w:val="center"/>
          </w:tcPr>
          <w:p w14:paraId="5D521CF8">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可使用容量1PB</w:t>
            </w:r>
          </w:p>
        </w:tc>
      </w:tr>
      <w:tr w14:paraId="0825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91" w:type="dxa"/>
            <w:vAlign w:val="center"/>
          </w:tcPr>
          <w:p w14:paraId="0346D49A">
            <w:pPr>
              <w:numPr>
                <w:ilvl w:val="0"/>
                <w:numId w:val="0"/>
              </w:numPr>
              <w:ind w:left="0" w:leftChars="0" w:firstLine="0" w:firstLineChars="0"/>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21</w:t>
            </w:r>
          </w:p>
        </w:tc>
        <w:tc>
          <w:tcPr>
            <w:tcW w:w="1284" w:type="dxa"/>
            <w:vAlign w:val="center"/>
          </w:tcPr>
          <w:p w14:paraId="2FE617A7">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安全运营类</w:t>
            </w:r>
          </w:p>
        </w:tc>
        <w:tc>
          <w:tcPr>
            <w:tcW w:w="2626" w:type="dxa"/>
            <w:vAlign w:val="center"/>
          </w:tcPr>
          <w:p w14:paraId="68048804">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AI安全运营监测平台</w:t>
            </w:r>
          </w:p>
        </w:tc>
        <w:tc>
          <w:tcPr>
            <w:tcW w:w="885" w:type="dxa"/>
            <w:vAlign w:val="center"/>
          </w:tcPr>
          <w:p w14:paraId="524635C1">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1</w:t>
            </w:r>
          </w:p>
        </w:tc>
        <w:tc>
          <w:tcPr>
            <w:tcW w:w="983" w:type="dxa"/>
            <w:vAlign w:val="center"/>
          </w:tcPr>
          <w:p w14:paraId="362DABFF">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套</w:t>
            </w:r>
          </w:p>
        </w:tc>
        <w:tc>
          <w:tcPr>
            <w:tcW w:w="2170" w:type="dxa"/>
            <w:vAlign w:val="center"/>
          </w:tcPr>
          <w:p w14:paraId="65E7059C">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安全态势感知、智能分析与联动处置</w:t>
            </w:r>
          </w:p>
        </w:tc>
      </w:tr>
      <w:tr w14:paraId="768F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791" w:type="dxa"/>
            <w:vAlign w:val="center"/>
          </w:tcPr>
          <w:p w14:paraId="2751A1BB">
            <w:pPr>
              <w:numPr>
                <w:ilvl w:val="0"/>
                <w:numId w:val="0"/>
              </w:numPr>
              <w:ind w:left="0" w:leftChars="0" w:firstLine="0" w:firstLineChars="0"/>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22</w:t>
            </w:r>
          </w:p>
        </w:tc>
        <w:tc>
          <w:tcPr>
            <w:tcW w:w="1284" w:type="dxa"/>
            <w:vAlign w:val="center"/>
          </w:tcPr>
          <w:p w14:paraId="3556734D">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运维管理类</w:t>
            </w:r>
          </w:p>
        </w:tc>
        <w:tc>
          <w:tcPr>
            <w:tcW w:w="2626" w:type="dxa"/>
            <w:vAlign w:val="center"/>
          </w:tcPr>
          <w:p w14:paraId="5BF02B72">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信息运维管理平台</w:t>
            </w:r>
          </w:p>
        </w:tc>
        <w:tc>
          <w:tcPr>
            <w:tcW w:w="885" w:type="dxa"/>
            <w:vAlign w:val="center"/>
          </w:tcPr>
          <w:p w14:paraId="56A489B9">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1</w:t>
            </w:r>
          </w:p>
        </w:tc>
        <w:tc>
          <w:tcPr>
            <w:tcW w:w="983" w:type="dxa"/>
            <w:vAlign w:val="center"/>
          </w:tcPr>
          <w:p w14:paraId="0C39D2F9">
            <w:pPr>
              <w:numPr>
                <w:ilvl w:val="0"/>
                <w:numId w:val="0"/>
              </w:numPr>
              <w:jc w:val="center"/>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套</w:t>
            </w:r>
          </w:p>
        </w:tc>
        <w:tc>
          <w:tcPr>
            <w:tcW w:w="2170" w:type="dxa"/>
            <w:vAlign w:val="center"/>
          </w:tcPr>
          <w:p w14:paraId="5DE3113B">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一体化运维监控与管理</w:t>
            </w:r>
          </w:p>
        </w:tc>
      </w:tr>
      <w:tr w14:paraId="759C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91" w:type="dxa"/>
            <w:vAlign w:val="center"/>
          </w:tcPr>
          <w:p w14:paraId="02C96935">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23</w:t>
            </w:r>
          </w:p>
        </w:tc>
        <w:tc>
          <w:tcPr>
            <w:tcW w:w="1284" w:type="dxa"/>
            <w:vAlign w:val="center"/>
          </w:tcPr>
          <w:p w14:paraId="70A834F9">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安全监管类</w:t>
            </w:r>
          </w:p>
        </w:tc>
        <w:tc>
          <w:tcPr>
            <w:tcW w:w="2626" w:type="dxa"/>
            <w:vAlign w:val="center"/>
          </w:tcPr>
          <w:p w14:paraId="6074915C">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防统方管理设备</w:t>
            </w:r>
          </w:p>
        </w:tc>
        <w:tc>
          <w:tcPr>
            <w:tcW w:w="885" w:type="dxa"/>
            <w:vAlign w:val="center"/>
          </w:tcPr>
          <w:p w14:paraId="6766BECB">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6FEA8753">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256E5030">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医疗防统方专项审计</w:t>
            </w:r>
          </w:p>
        </w:tc>
      </w:tr>
      <w:tr w14:paraId="1345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91" w:type="dxa"/>
            <w:vAlign w:val="center"/>
          </w:tcPr>
          <w:p w14:paraId="4CF2D144">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24</w:t>
            </w:r>
          </w:p>
        </w:tc>
        <w:tc>
          <w:tcPr>
            <w:tcW w:w="1284" w:type="dxa"/>
            <w:vAlign w:val="center"/>
          </w:tcPr>
          <w:p w14:paraId="34A9D45E">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应用负载均衡类</w:t>
            </w:r>
          </w:p>
        </w:tc>
        <w:tc>
          <w:tcPr>
            <w:tcW w:w="2626" w:type="dxa"/>
            <w:vAlign w:val="center"/>
          </w:tcPr>
          <w:p w14:paraId="17B2AB89">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应用负载均衡设备</w:t>
            </w:r>
          </w:p>
        </w:tc>
        <w:tc>
          <w:tcPr>
            <w:tcW w:w="885" w:type="dxa"/>
            <w:vAlign w:val="center"/>
          </w:tcPr>
          <w:p w14:paraId="6EAD4643">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4</w:t>
            </w:r>
          </w:p>
        </w:tc>
        <w:tc>
          <w:tcPr>
            <w:tcW w:w="983" w:type="dxa"/>
            <w:vAlign w:val="center"/>
          </w:tcPr>
          <w:p w14:paraId="454D6B60">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台</w:t>
            </w:r>
          </w:p>
        </w:tc>
        <w:tc>
          <w:tcPr>
            <w:tcW w:w="2170" w:type="dxa"/>
            <w:vAlign w:val="center"/>
          </w:tcPr>
          <w:p w14:paraId="741308D5">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两地三中心主、备数据中心应用负载分担与高可用</w:t>
            </w:r>
          </w:p>
        </w:tc>
      </w:tr>
      <w:tr w14:paraId="2891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91" w:type="dxa"/>
            <w:vAlign w:val="center"/>
          </w:tcPr>
          <w:p w14:paraId="26EEB775">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25</w:t>
            </w:r>
          </w:p>
        </w:tc>
        <w:tc>
          <w:tcPr>
            <w:tcW w:w="1284" w:type="dxa"/>
            <w:vAlign w:val="center"/>
          </w:tcPr>
          <w:p w14:paraId="6BC7DF8E">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综合集成服务类</w:t>
            </w:r>
          </w:p>
        </w:tc>
        <w:tc>
          <w:tcPr>
            <w:tcW w:w="2626" w:type="dxa"/>
            <w:vAlign w:val="center"/>
          </w:tcPr>
          <w:p w14:paraId="7A3BC54A">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综合集成服务</w:t>
            </w:r>
          </w:p>
        </w:tc>
        <w:tc>
          <w:tcPr>
            <w:tcW w:w="885" w:type="dxa"/>
            <w:vAlign w:val="center"/>
          </w:tcPr>
          <w:p w14:paraId="17E254A2">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983" w:type="dxa"/>
            <w:vAlign w:val="center"/>
          </w:tcPr>
          <w:p w14:paraId="5335879A">
            <w:pPr>
              <w:numPr>
                <w:ilvl w:val="0"/>
                <w:numId w:val="0"/>
              </w:num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套</w:t>
            </w:r>
          </w:p>
        </w:tc>
        <w:tc>
          <w:tcPr>
            <w:tcW w:w="2170" w:type="dxa"/>
            <w:vAlign w:val="center"/>
          </w:tcPr>
          <w:p w14:paraId="29DB5370">
            <w:pPr>
              <w:numPr>
                <w:ilvl w:val="0"/>
                <w:numId w:val="0"/>
              </w:numPr>
              <w:jc w:val="left"/>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方案设计、设备调试、培训及验收服务</w:t>
            </w:r>
          </w:p>
        </w:tc>
      </w:tr>
    </w:tbl>
    <w:p w14:paraId="24BFA54F">
      <w:pPr>
        <w:numPr>
          <w:ilvl w:val="0"/>
          <w:numId w:val="0"/>
        </w:numPr>
        <w:rPr>
          <w:rFonts w:ascii="Calibri" w:hAnsi="Calibri" w:eastAsia="宋体" w:cs="宋体"/>
          <w:szCs w:val="22"/>
          <w:highlight w:val="none"/>
        </w:rPr>
      </w:pPr>
    </w:p>
    <w:p w14:paraId="161A09D0">
      <w:pPr>
        <w:jc w:val="center"/>
        <w:rPr>
          <w:rFonts w:hint="eastAsia" w:ascii="宋体" w:hAnsi="宋体" w:eastAsia="宋体" w:cs="宋体"/>
          <w:sz w:val="24"/>
          <w:szCs w:val="24"/>
          <w:highlight w:val="none"/>
          <w:vertAlign w:val="baseline"/>
          <w:lang w:val="en-US" w:eastAsia="zh-CN"/>
        </w:rPr>
      </w:pPr>
    </w:p>
    <w:p w14:paraId="7DF0397B">
      <w:pPr>
        <w:numPr>
          <w:ilvl w:val="0"/>
          <w:numId w:val="0"/>
        </w:numPr>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（三）分项技术参数要求</w:t>
      </w:r>
    </w:p>
    <w:p w14:paraId="57ADF50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1</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lang w:val="en-US" w:eastAsia="zh-CN"/>
        </w:rPr>
        <w:t>边界安全防护类设备采购需求：</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372"/>
        <w:gridCol w:w="789"/>
        <w:gridCol w:w="5702"/>
      </w:tblGrid>
      <w:tr w14:paraId="29B51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370BD7F8">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序号</w:t>
            </w:r>
          </w:p>
        </w:tc>
        <w:tc>
          <w:tcPr>
            <w:tcW w:w="1372" w:type="dxa"/>
            <w:vAlign w:val="center"/>
          </w:tcPr>
          <w:p w14:paraId="4C61D1E4">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789" w:type="dxa"/>
            <w:vAlign w:val="center"/>
          </w:tcPr>
          <w:p w14:paraId="4931DE79">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5702" w:type="dxa"/>
            <w:vAlign w:val="center"/>
          </w:tcPr>
          <w:p w14:paraId="55D2DE29">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4C55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564733AA">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1372" w:type="dxa"/>
            <w:vAlign w:val="center"/>
          </w:tcPr>
          <w:p w14:paraId="5480FF3F">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外网</w:t>
            </w:r>
            <w:r>
              <w:rPr>
                <w:rFonts w:hint="eastAsia" w:ascii="仿宋_GB2312" w:hAnsi="仿宋_GB2312" w:eastAsia="仿宋_GB2312" w:cs="仿宋_GB2312"/>
                <w:sz w:val="21"/>
                <w:szCs w:val="21"/>
                <w:highlight w:val="none"/>
                <w:lang w:val="en-US" w:eastAsia="zh-CN"/>
              </w:rPr>
              <w:t>边界</w:t>
            </w:r>
            <w:r>
              <w:rPr>
                <w:rFonts w:hint="eastAsia" w:ascii="仿宋_GB2312" w:hAnsi="仿宋_GB2312" w:eastAsia="仿宋_GB2312" w:cs="仿宋_GB2312"/>
                <w:sz w:val="21"/>
                <w:szCs w:val="21"/>
                <w:highlight w:val="none"/>
              </w:rPr>
              <w:t>出口防火墙</w:t>
            </w:r>
          </w:p>
        </w:tc>
        <w:tc>
          <w:tcPr>
            <w:tcW w:w="789" w:type="dxa"/>
            <w:vAlign w:val="center"/>
          </w:tcPr>
          <w:p w14:paraId="7319BC83">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2台</w:t>
            </w:r>
          </w:p>
        </w:tc>
        <w:tc>
          <w:tcPr>
            <w:tcW w:w="5702" w:type="dxa"/>
          </w:tcPr>
          <w:p w14:paraId="0B2A9A9D">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1、硬件性能</w:t>
            </w:r>
          </w:p>
          <w:p w14:paraId="153DAD5F">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（1）网络层吞吐量≥35Gbps，应用层吞吐量≥20Gbps，防病毒吞吐量≥3Gbps，IPS 吞吐量≥3Gbps；所有安全引擎同时开启下性能不衰减至指标以下。</w:t>
            </w:r>
          </w:p>
          <w:p w14:paraId="52A8B3BF">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（2）最大并发连接数≥800 万，整机内存≥16GB，本地存储≥256GB SSD。</w:t>
            </w:r>
          </w:p>
          <w:p w14:paraId="23F6E8B2">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（3）接口：≥10 个千兆电口，≥6 个万兆 SFP + 光插槽，支持万兆单模 / 多模光模块扩展。</w:t>
            </w:r>
          </w:p>
          <w:p w14:paraId="6980ECC8">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（4）设备原生集成防火墙、IPS、全网防病毒、抗 DDoS、URL 过滤、Web 应用防护、恶意流量查杀模块，无需额外加装硬件卡。</w:t>
            </w:r>
          </w:p>
          <w:p w14:paraId="06D51D31">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2、高级威胁防御能力</w:t>
            </w:r>
          </w:p>
          <w:p w14:paraId="55740ACD">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（1）内置本地 AI 沙箱，可离线自主识别勒索病毒、APT 攻击、0day 漏洞利用程序；支持加密恶意流量解密识别，阻断隧道木马、加密远控、勒索外联行为。</w:t>
            </w:r>
          </w:p>
          <w:p w14:paraId="485C4F2C">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（2）具备勒索病毒行为识别机制，实时阻断批量文件加密、勒索指令外联、后门植入流量。</w:t>
            </w:r>
          </w:p>
          <w:p w14:paraId="1610A2BA">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（3）支持虚拟补丁防护未知漏洞，结合云端实时威胁情报同步新型恶意样本。</w:t>
            </w:r>
          </w:p>
          <w:p w14:paraId="452ED78F">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3、高可用机制</w:t>
            </w:r>
          </w:p>
          <w:p w14:paraId="1F4736A3">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（1）支持双机热备主备部署，整机故障切换时间≤30 秒，支持全量会话同步，切换后在线业务无需重连；支持硬件 Bypass 断电保护。</w:t>
            </w:r>
          </w:p>
          <w:p w14:paraId="2CD86FA7">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多链路链路优化</w:t>
            </w:r>
          </w:p>
          <w:p w14:paraId="70D07900">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（1）支持多运营商链路智能负载均衡、基于应用 / 时延 / 带宽智能选路；链路故障自动无缝切换，支持业务带宽保障、应用绑定专线。</w:t>
            </w:r>
          </w:p>
          <w:p w14:paraId="1909C00B">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质保、升级与合规</w:t>
            </w:r>
          </w:p>
          <w:p w14:paraId="7365D418">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（1）提供不少于 5 年整机硬件免费质保，5 年内系统固件、全部安全特征库（病毒 / IPS/WAF/URL/ 威胁情报）免费升级授权，无额外年度服务费。</w:t>
            </w:r>
          </w:p>
          <w:p w14:paraId="5FCE45DE">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（2）产品功能完全符合 GB/T 22239-2019《信息安全技术 网络安全等级保护基本要求》三级防护标准，提供对应合规测试报告。</w:t>
            </w:r>
          </w:p>
          <w:p w14:paraId="0DCEC7F3">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4、第三方安全平台联动</w:t>
            </w:r>
          </w:p>
          <w:p w14:paraId="47070C40">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（1）原生支持标准 Syslog、CEF、JSON 日志输出，全量安全事件、流量日志、上网审计日志可推送至院内现有态势感知平台。</w:t>
            </w:r>
          </w:p>
          <w:p w14:paraId="31A7F55B">
            <w:pPr>
              <w:widowControl w:val="0"/>
              <w:numPr>
                <w:ilvl w:val="0"/>
                <w:numId w:val="0"/>
              </w:numPr>
              <w:ind w:leftChars="0"/>
              <w:jc w:val="both"/>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vertAlign w:val="baseline"/>
              </w:rPr>
              <w:t>（2）支持双向联动，接收态势感知下发黑名单，高危威胁实时主动上报告警并联动阻断。</w:t>
            </w:r>
          </w:p>
        </w:tc>
      </w:tr>
      <w:tr w14:paraId="0CAE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33E32AB6">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1372" w:type="dxa"/>
            <w:vAlign w:val="center"/>
          </w:tcPr>
          <w:p w14:paraId="754BFA0E">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外网上网行为管理</w:t>
            </w:r>
            <w:r>
              <w:rPr>
                <w:rFonts w:hint="eastAsia" w:ascii="仿宋_GB2312" w:hAnsi="仿宋_GB2312" w:eastAsia="仿宋_GB2312" w:cs="仿宋_GB2312"/>
                <w:sz w:val="21"/>
                <w:szCs w:val="21"/>
                <w:highlight w:val="none"/>
                <w:lang w:val="en-US" w:eastAsia="zh-CN"/>
              </w:rPr>
              <w:t>设备</w:t>
            </w:r>
          </w:p>
        </w:tc>
        <w:tc>
          <w:tcPr>
            <w:tcW w:w="789" w:type="dxa"/>
            <w:vAlign w:val="center"/>
          </w:tcPr>
          <w:p w14:paraId="650F58C0">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2台</w:t>
            </w:r>
          </w:p>
        </w:tc>
        <w:tc>
          <w:tcPr>
            <w:tcW w:w="5702" w:type="dxa"/>
          </w:tcPr>
          <w:p w14:paraId="090BE191">
            <w:pPr>
              <w:widowControl w:val="0"/>
              <w:numPr>
                <w:ilvl w:val="0"/>
                <w:numId w:val="0"/>
              </w:numPr>
              <w:jc w:val="both"/>
              <w:rPr>
                <w:rFonts w:hint="default" w:ascii="仿宋_GB2312" w:hAnsi="仿宋_GB2312" w:eastAsia="仿宋_GB2312" w:cs="仿宋_GB2312"/>
                <w:sz w:val="21"/>
                <w:szCs w:val="21"/>
                <w:highlight w:val="none"/>
                <w:vertAlign w:val="baseline"/>
              </w:rPr>
            </w:pPr>
            <w:r>
              <w:rPr>
                <w:rFonts w:hint="default" w:ascii="仿宋_GB2312" w:hAnsi="仿宋_GB2312" w:eastAsia="仿宋_GB2312" w:cs="仿宋_GB2312"/>
                <w:sz w:val="21"/>
                <w:szCs w:val="21"/>
                <w:highlight w:val="none"/>
                <w:vertAlign w:val="baseline"/>
              </w:rPr>
              <w:t>1、硬件性能：网络层吞吐量≥15Gbps，整机带宽处理性能≥2Gbps，最大并发在线用户≥20000；内存≥16GB，本地 SSD 存储≥960GB；接口≥6 千兆电 + 2 万兆 SFP + 光口；本地日志完整留存≥6 个月，日志防篡改。</w:t>
            </w:r>
          </w:p>
          <w:p w14:paraId="42D85851">
            <w:pPr>
              <w:widowControl w:val="0"/>
              <w:numPr>
                <w:ilvl w:val="0"/>
                <w:numId w:val="0"/>
              </w:numPr>
              <w:jc w:val="both"/>
              <w:rPr>
                <w:rFonts w:hint="default" w:ascii="仿宋_GB2312" w:hAnsi="仿宋_GB2312" w:eastAsia="仿宋_GB2312" w:cs="仿宋_GB2312"/>
                <w:sz w:val="21"/>
                <w:szCs w:val="21"/>
                <w:highlight w:val="none"/>
                <w:vertAlign w:val="baseline"/>
              </w:rPr>
            </w:pPr>
            <w:r>
              <w:rPr>
                <w:rFonts w:hint="default" w:ascii="仿宋_GB2312" w:hAnsi="仿宋_GB2312" w:eastAsia="仿宋_GB2312" w:cs="仿宋_GB2312"/>
                <w:sz w:val="21"/>
                <w:szCs w:val="21"/>
                <w:highlight w:val="none"/>
                <w:vertAlign w:val="baseline"/>
              </w:rPr>
              <w:t>2、应用与网页防护：内置正版 URL 分类库、应用特征库，可识别拦截钓鱼、恶意、非法网站及高危违规应用，支持自定义黑白名单。</w:t>
            </w:r>
          </w:p>
          <w:p w14:paraId="615FD3DD">
            <w:pPr>
              <w:widowControl w:val="0"/>
              <w:numPr>
                <w:ilvl w:val="0"/>
                <w:numId w:val="0"/>
              </w:numPr>
              <w:jc w:val="both"/>
              <w:rPr>
                <w:rFonts w:hint="default" w:ascii="仿宋_GB2312" w:hAnsi="仿宋_GB2312" w:eastAsia="仿宋_GB2312" w:cs="仿宋_GB2312"/>
                <w:sz w:val="21"/>
                <w:szCs w:val="21"/>
                <w:highlight w:val="none"/>
                <w:vertAlign w:val="baseline"/>
              </w:rPr>
            </w:pPr>
            <w:r>
              <w:rPr>
                <w:rFonts w:hint="default" w:ascii="仿宋_GB2312" w:hAnsi="仿宋_GB2312" w:eastAsia="仿宋_GB2312" w:cs="仿宋_GB2312"/>
                <w:sz w:val="21"/>
                <w:szCs w:val="21"/>
                <w:highlight w:val="none"/>
                <w:vertAlign w:val="baseline"/>
              </w:rPr>
              <w:t>全行为审计：对网页访问、文件上下行、邮件、即时通讯、外联流量全维度日志记录，满足等保三级溯源审计要求。</w:t>
            </w:r>
          </w:p>
          <w:p w14:paraId="3589A4C3">
            <w:pPr>
              <w:widowControl w:val="0"/>
              <w:numPr>
                <w:ilvl w:val="0"/>
                <w:numId w:val="0"/>
              </w:numPr>
              <w:jc w:val="both"/>
              <w:rPr>
                <w:rFonts w:hint="default" w:ascii="仿宋_GB2312" w:hAnsi="仿宋_GB2312" w:eastAsia="仿宋_GB2312" w:cs="仿宋_GB2312"/>
                <w:sz w:val="21"/>
                <w:szCs w:val="21"/>
                <w:highlight w:val="none"/>
                <w:vertAlign w:val="baseline"/>
              </w:rPr>
            </w:pPr>
            <w:r>
              <w:rPr>
                <w:rFonts w:hint="default" w:ascii="仿宋_GB2312" w:hAnsi="仿宋_GB2312" w:eastAsia="仿宋_GB2312" w:cs="仿宋_GB2312"/>
                <w:sz w:val="21"/>
                <w:szCs w:val="21"/>
                <w:highlight w:val="none"/>
                <w:vertAlign w:val="baseline"/>
              </w:rPr>
              <w:t>3、流量带宽管控：支持动态带宽分配、业务带宽保障，可限制视频、P2P 下载、异常外联等非业务流量，异常流量自动告警。</w:t>
            </w:r>
          </w:p>
          <w:p w14:paraId="547396FD">
            <w:pPr>
              <w:widowControl w:val="0"/>
              <w:numPr>
                <w:ilvl w:val="0"/>
                <w:numId w:val="0"/>
              </w:numPr>
              <w:jc w:val="both"/>
              <w:rPr>
                <w:rFonts w:hint="default" w:ascii="仿宋_GB2312" w:hAnsi="仿宋_GB2312" w:eastAsia="仿宋_GB2312" w:cs="仿宋_GB2312"/>
                <w:sz w:val="21"/>
                <w:szCs w:val="21"/>
                <w:highlight w:val="none"/>
                <w:vertAlign w:val="baseline"/>
              </w:rPr>
            </w:pPr>
            <w:r>
              <w:rPr>
                <w:rFonts w:hint="default" w:ascii="仿宋_GB2312" w:hAnsi="仿宋_GB2312" w:eastAsia="仿宋_GB2312" w:cs="仿宋_GB2312"/>
                <w:sz w:val="21"/>
                <w:szCs w:val="21"/>
                <w:highlight w:val="none"/>
                <w:vertAlign w:val="baseline"/>
              </w:rPr>
              <w:t>4、审计报表：内置医疗行业合规报表模板，支持周期自动导出审计报告，满足网信、等保检查备查。</w:t>
            </w:r>
          </w:p>
          <w:p w14:paraId="1B455BB0">
            <w:pPr>
              <w:widowControl w:val="0"/>
              <w:numPr>
                <w:ilvl w:val="0"/>
                <w:numId w:val="0"/>
              </w:numPr>
              <w:jc w:val="both"/>
              <w:rPr>
                <w:rFonts w:hint="default" w:ascii="仿宋_GB2312" w:hAnsi="仿宋_GB2312" w:eastAsia="仿宋_GB2312" w:cs="仿宋_GB2312"/>
                <w:sz w:val="21"/>
                <w:szCs w:val="21"/>
                <w:highlight w:val="none"/>
                <w:vertAlign w:val="baseline"/>
              </w:rPr>
            </w:pPr>
            <w:r>
              <w:rPr>
                <w:rFonts w:hint="default" w:ascii="仿宋_GB2312" w:hAnsi="仿宋_GB2312" w:eastAsia="仿宋_GB2312" w:cs="仿宋_GB2312"/>
                <w:sz w:val="21"/>
                <w:szCs w:val="21"/>
                <w:highlight w:val="none"/>
                <w:vertAlign w:val="baseline"/>
              </w:rPr>
              <w:t>5、服务保障：提供 5 年整机硬件质保，5 年内系统软件、URL 库、应用特征库、病毒规则库免费升级，无额外授权年费。</w:t>
            </w:r>
          </w:p>
        </w:tc>
      </w:tr>
      <w:tr w14:paraId="4D67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500D7CF9">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3</w:t>
            </w:r>
          </w:p>
        </w:tc>
        <w:tc>
          <w:tcPr>
            <w:tcW w:w="1372" w:type="dxa"/>
            <w:vAlign w:val="center"/>
          </w:tcPr>
          <w:p w14:paraId="2A90DF7B">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Web 应用防火墙（WAF）</w:t>
            </w:r>
          </w:p>
        </w:tc>
        <w:tc>
          <w:tcPr>
            <w:tcW w:w="789" w:type="dxa"/>
            <w:vAlign w:val="center"/>
          </w:tcPr>
          <w:p w14:paraId="48A67EEC">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2台</w:t>
            </w:r>
          </w:p>
        </w:tc>
        <w:tc>
          <w:tcPr>
            <w:tcW w:w="5702" w:type="dxa"/>
          </w:tcPr>
          <w:p w14:paraId="4FA4F9E4">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HTTP吞吐量至少8Gbps，HTTP最大并发连接数至少1000000，内存至少16G，硬盘至少2T，提供网络接口至少4个千兆电口和4个千兆光口，网络接口扩展槽至少3个，至少双电源；</w:t>
            </w:r>
          </w:p>
          <w:p w14:paraId="69120A18">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提供对医院门户网站、互联网诊疗、线上缴费等业务系统提供防扫描、防爬取、防暴力破解能力；</w:t>
            </w:r>
          </w:p>
          <w:p w14:paraId="3526C224">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至少支持透明传输和反向两种部署模式，且在两种部署模式下安全策略生效；</w:t>
            </w:r>
          </w:p>
          <w:p w14:paraId="733E2004">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支持针对单个接口配置IP地址池，支持反代模式下后端连接使用IP地址池中的IP作为源地址轮询，支持针对不同目的网络配置不同网关的策略路由；</w:t>
            </w:r>
          </w:p>
          <w:p w14:paraId="3EBABF05">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支持对WEB应用的访问进行控制，至少包括HTTP传输内容的关键字、HTTP请求方式、HTTP请求文件类型、HTTP协议头中各字段长度、HTTP上传文件类型、HTTP请求频率和HTTP返回的响应内容；</w:t>
            </w:r>
          </w:p>
          <w:p w14:paraId="3186D922">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支持客户端安全防护，能通过WAF向服务器返回信息插入特殊的HTTP报文以保护客户端免受相应攻击；</w:t>
            </w:r>
          </w:p>
          <w:p w14:paraId="4A2E0332">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支持WEB攻击防护功能，至少包括SQL注入、XSS攻击、第三方组件漏洞、目录遍历、Cookie注入、CSRF、文件包含、盗链、OS命令注入、WebShell和反序列化攻击的识别和防御；</w:t>
            </w:r>
          </w:p>
          <w:p w14:paraId="5817FA50">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支持对CC攻击进行检测与防护，匹配条件至少包括URL参数、请求头部字段、目的IP、请求方法、地理位置，支持对至少包括请求速率、请求集中度、请求离散度进行检测，并支持从请求头字段获取真实源IP地址；</w:t>
            </w:r>
          </w:p>
          <w:p w14:paraId="47E8A50F">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支持防护自动化工具发起的攻击，至少包括应用扫描行为和漏洞利用工具的防护；</w:t>
            </w:r>
          </w:p>
          <w:p w14:paraId="69E7EDFB">
            <w:pPr>
              <w:widowControl w:val="0"/>
              <w:numPr>
                <w:ilvl w:val="0"/>
                <w:numId w:val="1"/>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支持对攻击行为进行告警，并能对高频发生的相同告警事件进行合并告警，避免出现告警风暴，告警信息至少包括事件主体、事件客体、事件描述、危害级别和事件发生的日期和时间；</w:t>
            </w:r>
          </w:p>
          <w:p w14:paraId="2EE44591">
            <w:pPr>
              <w:widowControl w:val="0"/>
              <w:numPr>
                <w:ilvl w:val="0"/>
                <w:numId w:val="1"/>
              </w:numPr>
              <w:jc w:val="both"/>
              <w:rPr>
                <w:rFonts w:hint="eastAsia" w:ascii="仿宋_GB2312" w:hAnsi="仿宋_GB2312" w:eastAsia="仿宋_GB2312" w:cs="仿宋_GB2312"/>
                <w:sz w:val="21"/>
                <w:szCs w:val="21"/>
                <w:highlight w:val="none"/>
                <w:vertAlign w:val="baseline"/>
              </w:rPr>
            </w:pPr>
            <w:bookmarkStart w:id="0" w:name="OLE_LINK31"/>
            <w:r>
              <w:rPr>
                <w:rFonts w:hint="eastAsia" w:ascii="仿宋_GB2312" w:hAnsi="仿宋_GB2312" w:eastAsia="仿宋_GB2312" w:cs="仿宋_GB2312"/>
                <w:sz w:val="21"/>
                <w:szCs w:val="21"/>
                <w:highlight w:val="none"/>
                <w:lang w:val="en-US" w:eastAsia="zh-CN"/>
              </w:rPr>
              <w:t>需提供至少5年硬件质保、软件升级和威胁情报策略升级服务；</w:t>
            </w:r>
            <w:bookmarkEnd w:id="0"/>
          </w:p>
        </w:tc>
      </w:tr>
      <w:tr w14:paraId="2A375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30BEEC6D">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4</w:t>
            </w:r>
          </w:p>
        </w:tc>
        <w:tc>
          <w:tcPr>
            <w:tcW w:w="1372" w:type="dxa"/>
            <w:vAlign w:val="center"/>
          </w:tcPr>
          <w:p w14:paraId="102FA83A">
            <w:pPr>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rPr>
              <w:t>内外网隔离网闸</w:t>
            </w:r>
          </w:p>
        </w:tc>
        <w:tc>
          <w:tcPr>
            <w:tcW w:w="789" w:type="dxa"/>
            <w:vAlign w:val="center"/>
          </w:tcPr>
          <w:p w14:paraId="548CD268">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2台</w:t>
            </w:r>
          </w:p>
        </w:tc>
        <w:tc>
          <w:tcPr>
            <w:tcW w:w="5702" w:type="dxa"/>
          </w:tcPr>
          <w:p w14:paraId="47531201">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吞吐量至少1.5Gbps，硬件规格不高于2U，系统延时小于0.5ms，最大并发连接数至少50万，采用“双主机+隔离卡”架构，单主机设备内存至少8G、硬盘至少1T、提供网络接口至少6个千兆电口，提供文件交换、数据库交换、视频交换和应用数据交换功能；</w:t>
            </w:r>
          </w:p>
          <w:p w14:paraId="5713551B">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支持多机热备，可实现多台设备间冗余热备，避免单点故障影响业务连续性；</w:t>
            </w:r>
          </w:p>
          <w:p w14:paraId="22C99F77">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支持文件交换，至少包括远程ftp、远程FTPS、远程SMB、远程NFS、远程sftp、本地ftp、本地sftp、本地TFTP、客户端方式；</w:t>
            </w:r>
          </w:p>
          <w:p w14:paraId="24224FAA">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支持数据库交换，同步功能由网闸主动发起并完成，无需在数据库安装软件；</w:t>
            </w:r>
          </w:p>
          <w:p w14:paraId="131C115C">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支持数据表智能匹配，可自动匹配表名、字段相同的数据表建立同步关系，满足大批量数据表同步场景下的快速配置需求；</w:t>
            </w:r>
          </w:p>
          <w:p w14:paraId="746DA20E">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支持分解UPDATE同步，检测目标数据库无update数据主键则转换为insert操作进行同步，处理数据冲突，保证数据一致性；</w:t>
            </w:r>
          </w:p>
          <w:p w14:paraId="76C604DB">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支持视频交换，至少支持RTSP_OVER_TCP,RTSP_OVER_UDP和GB/T-28181、GB/T-35114标准视频协议；</w:t>
            </w:r>
          </w:p>
          <w:p w14:paraId="45B5E715">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支持视频流插帧，可设置插帧频率，防止视频流中夹杂恶意代码；</w:t>
            </w:r>
          </w:p>
          <w:p w14:paraId="1994D934">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支持应用数据交换，至少支持HTTP、FTP、SMTP、POP3、自定义TCP\UDP协议；</w:t>
            </w:r>
          </w:p>
          <w:p w14:paraId="499637D9">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支持域名解析服务，可将指定域名解析到网闸接口IP实现基于域名的应用协议交换；</w:t>
            </w:r>
          </w:p>
          <w:p w14:paraId="157A7847">
            <w:pPr>
              <w:widowControl w:val="0"/>
              <w:numPr>
                <w:ilvl w:val="0"/>
                <w:numId w:val="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支持反向远程管理，系统本地管理服务主动注册到远程管理服务器，并将本地管理服务端口与远程管理服务端口绑定，实现远程管理服务器通过本地管理服务对系统进行反向远程管理；</w:t>
            </w:r>
          </w:p>
          <w:p w14:paraId="050DE20B">
            <w:pPr>
              <w:widowControl w:val="0"/>
              <w:numPr>
                <w:ilvl w:val="0"/>
                <w:numId w:val="2"/>
              </w:numPr>
              <w:jc w:val="both"/>
              <w:rPr>
                <w:rFonts w:hint="default"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需提供至少5年硬件质保和软件升级升级服务；</w:t>
            </w:r>
          </w:p>
        </w:tc>
      </w:tr>
      <w:tr w14:paraId="1C9CF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482E7E61">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5</w:t>
            </w:r>
          </w:p>
        </w:tc>
        <w:tc>
          <w:tcPr>
            <w:tcW w:w="1372" w:type="dxa"/>
            <w:vAlign w:val="center"/>
          </w:tcPr>
          <w:p w14:paraId="5B48D502">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光华院区内网边界防火墙</w:t>
            </w:r>
          </w:p>
        </w:tc>
        <w:tc>
          <w:tcPr>
            <w:tcW w:w="789" w:type="dxa"/>
            <w:vAlign w:val="center"/>
          </w:tcPr>
          <w:p w14:paraId="486913C7">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2台</w:t>
            </w:r>
          </w:p>
        </w:tc>
        <w:tc>
          <w:tcPr>
            <w:tcW w:w="5702" w:type="dxa"/>
          </w:tcPr>
          <w:p w14:paraId="46D002EB">
            <w:pPr>
              <w:numPr>
                <w:ilvl w:val="0"/>
                <w:numId w:val="3"/>
              </w:numPr>
              <w:rPr>
                <w:rFonts w:hint="eastAsia" w:ascii="仿宋_GB2312" w:hAnsi="仿宋_GB2312" w:eastAsia="仿宋_GB2312" w:cs="仿宋_GB2312"/>
                <w:sz w:val="21"/>
                <w:szCs w:val="21"/>
                <w:highlight w:val="none"/>
                <w:lang w:val="en-US" w:eastAsia="zh-CN"/>
              </w:rPr>
            </w:pPr>
            <w:bookmarkStart w:id="1" w:name="OLE_LINK2"/>
            <w:r>
              <w:rPr>
                <w:rFonts w:hint="eastAsia" w:ascii="仿宋_GB2312" w:hAnsi="仿宋_GB2312" w:eastAsia="仿宋_GB2312" w:cs="仿宋_GB2312"/>
                <w:sz w:val="21"/>
                <w:szCs w:val="21"/>
                <w:highlight w:val="none"/>
                <w:lang w:val="en-US" w:eastAsia="zh-CN"/>
              </w:rPr>
              <w:t>设备需具备网络层吞吐量不少于10Gbps，应用层吞吐量不少于5Gbps，防病毒吞吐量不少于1G</w:t>
            </w:r>
            <w:r>
              <w:rPr>
                <w:rFonts w:hint="default" w:ascii="仿宋_GB2312" w:hAnsi="仿宋_GB2312" w:eastAsia="仿宋_GB2312" w:cs="仿宋_GB2312"/>
                <w:sz w:val="21"/>
                <w:szCs w:val="21"/>
                <w:highlight w:val="none"/>
                <w:lang w:val="en-US" w:eastAsia="zh-CN"/>
              </w:rPr>
              <w:t>bps,</w:t>
            </w:r>
            <w:r>
              <w:rPr>
                <w:rFonts w:hint="eastAsia" w:ascii="仿宋_GB2312" w:hAnsi="仿宋_GB2312" w:eastAsia="仿宋_GB2312" w:cs="仿宋_GB2312"/>
                <w:sz w:val="21"/>
                <w:szCs w:val="21"/>
                <w:highlight w:val="none"/>
                <w:lang w:val="en-US" w:eastAsia="zh-CN"/>
              </w:rPr>
              <w:t>全威胁吞吐量不少于800Mbps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lang w:val="en-US" w:eastAsia="zh-CN"/>
              </w:rPr>
              <w:t>并发连接数不少于200万，</w:t>
            </w:r>
            <w:bookmarkStart w:id="2" w:name="OLE_LINK3"/>
            <w:r>
              <w:rPr>
                <w:rFonts w:hint="eastAsia" w:ascii="仿宋_GB2312" w:hAnsi="仿宋_GB2312" w:eastAsia="仿宋_GB2312" w:cs="仿宋_GB2312"/>
                <w:sz w:val="21"/>
                <w:szCs w:val="21"/>
                <w:highlight w:val="none"/>
                <w:lang w:val="en-US" w:eastAsia="zh-CN"/>
              </w:rPr>
              <w:t>内存不少于8G，硬盘不少于128GB SSD，提供至少8个千兆电口和2个万兆光口SFP+，</w:t>
            </w:r>
            <w:bookmarkEnd w:id="2"/>
            <w:r>
              <w:rPr>
                <w:rFonts w:hint="eastAsia" w:ascii="仿宋_GB2312" w:hAnsi="仿宋_GB2312" w:eastAsia="仿宋_GB2312" w:cs="仿宋_GB2312"/>
                <w:sz w:val="21"/>
                <w:szCs w:val="21"/>
                <w:highlight w:val="none"/>
                <w:lang w:val="en-US" w:eastAsia="zh-CN"/>
              </w:rPr>
              <w:t>防火墙设备需自带IPS、防病毒、URL过滤、恶意访问查杀能力，具备监测并阻断内网边界出口的病毒传播、勒索软件横向扩散、异常扫描与渗透等能力，防止单点感染扩散内网。</w:t>
            </w:r>
          </w:p>
          <w:p w14:paraId="3BD07132">
            <w:pPr>
              <w:numPr>
                <w:ilvl w:val="0"/>
                <w:numId w:val="3"/>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具备双机热备切换能力，保证设备高可用性，其中切换时间不大于30秒，保障在单台设备故障时医院业务可稳定运行。</w:t>
            </w:r>
          </w:p>
          <w:p w14:paraId="3CDA5C9A">
            <w:pPr>
              <w:numPr>
                <w:ilvl w:val="0"/>
                <w:numId w:val="3"/>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需具备内网访问登录安全防护、暴力破解拦截与全程行为审计等能力，符合医疗行业数据保密与等级保护合规要求，防止业务访问越权、信息外泄等安全隐患。</w:t>
            </w:r>
          </w:p>
          <w:p w14:paraId="3654EF77">
            <w:pPr>
              <w:numPr>
                <w:ilvl w:val="0"/>
                <w:numId w:val="3"/>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设备需符合《信息安全技术 网络安全等级保护基本要求》（GB/T22239-2019）三级标准。</w:t>
            </w:r>
          </w:p>
          <w:p w14:paraId="43A41039">
            <w:pPr>
              <w:numPr>
                <w:ilvl w:val="0"/>
                <w:numId w:val="3"/>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需具备光华院区与西区灾备中心网络隔离，仅开放数据同步、运维管理必要端口。</w:t>
            </w:r>
          </w:p>
          <w:p w14:paraId="44FAF2C4">
            <w:pPr>
              <w:numPr>
                <w:ilvl w:val="0"/>
                <w:numId w:val="3"/>
              </w:numP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需提供至少5年硬件质保、软件升级和病毒规则库升级</w:t>
            </w:r>
            <w:bookmarkEnd w:id="1"/>
            <w:r>
              <w:rPr>
                <w:rFonts w:hint="eastAsia" w:ascii="仿宋_GB2312" w:hAnsi="仿宋_GB2312" w:eastAsia="仿宋_GB2312" w:cs="仿宋_GB2312"/>
                <w:sz w:val="21"/>
                <w:szCs w:val="21"/>
                <w:highlight w:val="none"/>
                <w:lang w:val="en-US" w:eastAsia="zh-CN"/>
              </w:rPr>
              <w:t>。</w:t>
            </w:r>
          </w:p>
        </w:tc>
      </w:tr>
      <w:tr w14:paraId="358D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 w:type="dxa"/>
            <w:vAlign w:val="center"/>
          </w:tcPr>
          <w:p w14:paraId="29AC8980">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6</w:t>
            </w:r>
          </w:p>
        </w:tc>
        <w:tc>
          <w:tcPr>
            <w:tcW w:w="1372" w:type="dxa"/>
            <w:vAlign w:val="center"/>
          </w:tcPr>
          <w:p w14:paraId="48781D5C">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安全运维管理区防火墙</w:t>
            </w:r>
          </w:p>
        </w:tc>
        <w:tc>
          <w:tcPr>
            <w:tcW w:w="789" w:type="dxa"/>
            <w:vAlign w:val="center"/>
          </w:tcPr>
          <w:p w14:paraId="29CAA8EE">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1 台</w:t>
            </w:r>
          </w:p>
        </w:tc>
        <w:tc>
          <w:tcPr>
            <w:tcW w:w="5702" w:type="dxa"/>
          </w:tcPr>
          <w:p w14:paraId="75FBBFD2">
            <w:pPr>
              <w:numPr>
                <w:ilvl w:val="0"/>
                <w:numId w:val="4"/>
              </w:numP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val="en-US" w:eastAsia="zh-CN"/>
              </w:rPr>
              <w:t>设备需具备网络层</w:t>
            </w:r>
            <w:r>
              <w:rPr>
                <w:rFonts w:hint="eastAsia" w:ascii="仿宋_GB2312" w:hAnsi="仿宋_GB2312" w:eastAsia="仿宋_GB2312" w:cs="仿宋_GB2312"/>
                <w:sz w:val="21"/>
                <w:szCs w:val="21"/>
                <w:highlight w:val="none"/>
              </w:rPr>
              <w:t>吞吐量</w:t>
            </w:r>
            <w:r>
              <w:rPr>
                <w:rFonts w:hint="eastAsia" w:ascii="仿宋_GB2312" w:hAnsi="仿宋_GB2312" w:eastAsia="仿宋_GB2312" w:cs="仿宋_GB2312"/>
                <w:sz w:val="21"/>
                <w:szCs w:val="21"/>
                <w:highlight w:val="none"/>
                <w:lang w:val="en-US" w:eastAsia="zh-CN"/>
              </w:rPr>
              <w:t>不少于20</w:t>
            </w:r>
            <w:r>
              <w:rPr>
                <w:rFonts w:hint="eastAsia" w:ascii="仿宋_GB2312" w:hAnsi="仿宋_GB2312" w:eastAsia="仿宋_GB2312" w:cs="仿宋_GB2312"/>
                <w:sz w:val="21"/>
                <w:szCs w:val="21"/>
                <w:highlight w:val="none"/>
              </w:rPr>
              <w:t>Gbps，</w:t>
            </w:r>
            <w:r>
              <w:rPr>
                <w:rFonts w:hint="eastAsia" w:ascii="仿宋_GB2312" w:hAnsi="仿宋_GB2312" w:eastAsia="仿宋_GB2312" w:cs="仿宋_GB2312"/>
                <w:sz w:val="21"/>
                <w:szCs w:val="21"/>
                <w:highlight w:val="none"/>
                <w:lang w:val="en-US" w:eastAsia="zh-CN"/>
              </w:rPr>
              <w:t>应用层吞吐量不少于10Gbps，</w:t>
            </w:r>
            <w:r>
              <w:rPr>
                <w:rFonts w:hint="default" w:ascii="仿宋_GB2312" w:hAnsi="仿宋_GB2312" w:eastAsia="仿宋_GB2312" w:cs="仿宋_GB2312"/>
                <w:sz w:val="21"/>
                <w:szCs w:val="21"/>
                <w:highlight w:val="none"/>
                <w:lang w:val="en-US" w:eastAsia="zh-CN"/>
              </w:rPr>
              <w:t>IPS</w:t>
            </w:r>
            <w:r>
              <w:rPr>
                <w:rFonts w:hint="eastAsia" w:ascii="仿宋_GB2312" w:hAnsi="仿宋_GB2312" w:eastAsia="仿宋_GB2312" w:cs="仿宋_GB2312"/>
                <w:sz w:val="21"/>
                <w:szCs w:val="21"/>
                <w:highlight w:val="none"/>
                <w:lang w:val="en-US" w:eastAsia="zh-CN"/>
              </w:rPr>
              <w:t>吞吐量不少于1.5Gbps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lang w:val="en-US" w:eastAsia="zh-CN"/>
              </w:rPr>
              <w:t>防病毒吞吐量不少于1.5Gpbs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rPr>
              <w:t>并发连接数</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lang w:val="en-US" w:eastAsia="zh-CN"/>
              </w:rPr>
              <w:t>300</w:t>
            </w:r>
            <w:r>
              <w:rPr>
                <w:rFonts w:hint="eastAsia" w:ascii="仿宋_GB2312" w:hAnsi="仿宋_GB2312" w:eastAsia="仿宋_GB2312" w:cs="仿宋_GB2312"/>
                <w:sz w:val="21"/>
                <w:szCs w:val="21"/>
                <w:highlight w:val="none"/>
              </w:rPr>
              <w:t>万，</w:t>
            </w:r>
            <w:r>
              <w:rPr>
                <w:rFonts w:hint="eastAsia" w:ascii="仿宋_GB2312" w:hAnsi="仿宋_GB2312" w:eastAsia="仿宋_GB2312" w:cs="仿宋_GB2312"/>
                <w:sz w:val="21"/>
                <w:szCs w:val="21"/>
                <w:highlight w:val="none"/>
                <w:lang w:val="en-US" w:eastAsia="zh-CN"/>
              </w:rPr>
              <w:t>内存至少8G，硬盘至少128GB SSD，提供至少8个千兆电口+2个万兆光口SFP+，设备需集成IPS、防病毒、URL过滤、恶意访问查杀能力，实现内网安全运维区的隔离防护。</w:t>
            </w:r>
          </w:p>
          <w:p w14:paraId="71FFF3B0">
            <w:pPr>
              <w:numPr>
                <w:ilvl w:val="0"/>
                <w:numId w:val="4"/>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具备完整的运维操作日志记录、流量行为抓取及访问轨迹留存能力，支持异常登录、高频尝试连接、非常规运维操作自动预警告警。</w:t>
            </w:r>
          </w:p>
          <w:p w14:paraId="4FBEEACF">
            <w:pPr>
              <w:numPr>
                <w:ilvl w:val="0"/>
                <w:numId w:val="4"/>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具备双机热备切换能力，保证设备高可用性，其中切换时间不大于30秒，保障在单台设备故障时医院业务可稳定运行。</w:t>
            </w:r>
          </w:p>
          <w:p w14:paraId="2A6C65FD">
            <w:pPr>
              <w:numPr>
                <w:ilvl w:val="0"/>
                <w:numId w:val="4"/>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需提供至少5年硬件质保、软件升级和病毒规则库升级</w:t>
            </w:r>
            <w:r>
              <w:rPr>
                <w:rFonts w:hint="eastAsia"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lang w:val="en-US" w:eastAsia="zh-CN"/>
              </w:rPr>
              <w:t>设备</w:t>
            </w:r>
            <w:r>
              <w:rPr>
                <w:rFonts w:hint="eastAsia" w:ascii="仿宋_GB2312" w:hAnsi="仿宋_GB2312" w:eastAsia="仿宋_GB2312" w:cs="仿宋_GB2312"/>
                <w:sz w:val="21"/>
                <w:szCs w:val="21"/>
                <w:highlight w:val="none"/>
              </w:rPr>
              <w:t>符合《信息安全技术 网络安全等级保护基本要求》（GB/T22239-2019）三级标准</w:t>
            </w:r>
            <w:r>
              <w:rPr>
                <w:rFonts w:hint="eastAsia" w:ascii="仿宋_GB2312" w:hAnsi="仿宋_GB2312" w:eastAsia="仿宋_GB2312" w:cs="仿宋_GB2312"/>
                <w:sz w:val="21"/>
                <w:szCs w:val="21"/>
                <w:highlight w:val="none"/>
                <w:lang w:eastAsia="zh-CN"/>
              </w:rPr>
              <w:t>。</w:t>
            </w:r>
          </w:p>
          <w:p w14:paraId="6085C8FD">
            <w:pPr>
              <w:numPr>
                <w:ilvl w:val="0"/>
                <w:numId w:val="4"/>
              </w:numP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需具备与医院现有态势感知平台联动对接能力，实现日志、流量识别与安全监测管理。</w:t>
            </w:r>
          </w:p>
        </w:tc>
      </w:tr>
    </w:tbl>
    <w:p w14:paraId="351CDB1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2</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.区域隔离与终端防护类设备</w:t>
      </w:r>
      <w:r>
        <w:rPr>
          <w:rFonts w:hint="eastAsia" w:ascii="仿宋_GB2312" w:hAnsi="仿宋_GB2312" w:eastAsia="仿宋_GB2312" w:cs="仿宋_GB2312"/>
          <w:sz w:val="21"/>
          <w:szCs w:val="21"/>
          <w:highlight w:val="none"/>
          <w:lang w:val="en-US" w:eastAsia="zh-CN"/>
        </w:rPr>
        <w:t>采购需求：</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1383"/>
        <w:gridCol w:w="789"/>
        <w:gridCol w:w="5701"/>
      </w:tblGrid>
      <w:tr w14:paraId="0D16B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4A4368EA">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序号</w:t>
            </w:r>
          </w:p>
        </w:tc>
        <w:tc>
          <w:tcPr>
            <w:tcW w:w="1383" w:type="dxa"/>
            <w:vAlign w:val="center"/>
          </w:tcPr>
          <w:p w14:paraId="30BB36F5">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设备名称</w:t>
            </w:r>
          </w:p>
        </w:tc>
        <w:tc>
          <w:tcPr>
            <w:tcW w:w="789" w:type="dxa"/>
            <w:vAlign w:val="center"/>
          </w:tcPr>
          <w:p w14:paraId="7F629398">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数量</w:t>
            </w:r>
          </w:p>
        </w:tc>
        <w:tc>
          <w:tcPr>
            <w:tcW w:w="5701" w:type="dxa"/>
            <w:vAlign w:val="center"/>
          </w:tcPr>
          <w:p w14:paraId="0D38A42E">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54E4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2C95AE1B">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1383" w:type="dxa"/>
            <w:vAlign w:val="center"/>
          </w:tcPr>
          <w:p w14:paraId="32637680">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内网</w:t>
            </w:r>
            <w:r>
              <w:rPr>
                <w:rFonts w:hint="eastAsia" w:ascii="仿宋_GB2312" w:hAnsi="仿宋_GB2312" w:eastAsia="仿宋_GB2312" w:cs="仿宋_GB2312"/>
                <w:sz w:val="21"/>
                <w:szCs w:val="21"/>
                <w:highlight w:val="none"/>
                <w:lang w:val="en-US" w:eastAsia="zh-CN"/>
              </w:rPr>
              <w:t>主</w:t>
            </w:r>
            <w:r>
              <w:rPr>
                <w:rFonts w:hint="eastAsia" w:ascii="仿宋_GB2312" w:hAnsi="仿宋_GB2312" w:eastAsia="仿宋_GB2312" w:cs="仿宋_GB2312"/>
                <w:sz w:val="21"/>
                <w:szCs w:val="21"/>
                <w:highlight w:val="none"/>
              </w:rPr>
              <w:t>数据中心防火墙</w:t>
            </w:r>
          </w:p>
        </w:tc>
        <w:tc>
          <w:tcPr>
            <w:tcW w:w="789" w:type="dxa"/>
            <w:vAlign w:val="center"/>
          </w:tcPr>
          <w:p w14:paraId="1DDC597F">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2</w:t>
            </w:r>
            <w:r>
              <w:rPr>
                <w:rFonts w:hint="eastAsia" w:ascii="仿宋_GB2312" w:hAnsi="仿宋_GB2312" w:eastAsia="仿宋_GB2312" w:cs="仿宋_GB2312"/>
                <w:sz w:val="21"/>
                <w:szCs w:val="21"/>
                <w:highlight w:val="none"/>
              </w:rPr>
              <w:t>台</w:t>
            </w:r>
          </w:p>
        </w:tc>
        <w:tc>
          <w:tcPr>
            <w:tcW w:w="5701" w:type="dxa"/>
          </w:tcPr>
          <w:p w14:paraId="73485A54">
            <w:pPr>
              <w:numPr>
                <w:ilvl w:val="0"/>
                <w:numId w:val="5"/>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作为内网数据中心核心安全设备，需具备</w:t>
            </w:r>
            <w:r>
              <w:rPr>
                <w:rFonts w:hint="eastAsia" w:ascii="仿宋_GB2312" w:hAnsi="仿宋_GB2312" w:eastAsia="仿宋_GB2312" w:cs="仿宋_GB2312"/>
                <w:sz w:val="21"/>
                <w:szCs w:val="21"/>
                <w:highlight w:val="none"/>
              </w:rPr>
              <w:t>网路层吞吐量</w:t>
            </w:r>
            <w:r>
              <w:rPr>
                <w:rFonts w:hint="eastAsia" w:ascii="仿宋_GB2312" w:hAnsi="仿宋_GB2312" w:eastAsia="仿宋_GB2312" w:cs="仿宋_GB2312"/>
                <w:sz w:val="21"/>
                <w:szCs w:val="21"/>
                <w:highlight w:val="none"/>
                <w:lang w:val="en-US" w:eastAsia="zh-CN"/>
              </w:rPr>
              <w:t>不少于</w:t>
            </w:r>
            <w:r>
              <w:rPr>
                <w:rFonts w:hint="eastAsia" w:ascii="仿宋_GB2312" w:hAnsi="仿宋_GB2312" w:eastAsia="仿宋_GB2312" w:cs="仿宋_GB2312"/>
                <w:sz w:val="21"/>
                <w:szCs w:val="21"/>
                <w:highlight w:val="none"/>
              </w:rPr>
              <w:t>80Gbps，应用层吞吐量</w:t>
            </w:r>
            <w:r>
              <w:rPr>
                <w:rFonts w:hint="eastAsia" w:ascii="仿宋_GB2312" w:hAnsi="仿宋_GB2312" w:eastAsia="仿宋_GB2312" w:cs="仿宋_GB2312"/>
                <w:sz w:val="21"/>
                <w:szCs w:val="21"/>
                <w:highlight w:val="none"/>
                <w:lang w:val="en-US" w:eastAsia="zh-CN"/>
              </w:rPr>
              <w:t>不少于</w:t>
            </w:r>
            <w:r>
              <w:rPr>
                <w:rFonts w:hint="eastAsia" w:ascii="仿宋_GB2312" w:hAnsi="仿宋_GB2312" w:eastAsia="仿宋_GB2312" w:cs="仿宋_GB2312"/>
                <w:sz w:val="21"/>
                <w:szCs w:val="21"/>
                <w:highlight w:val="none"/>
              </w:rPr>
              <w:t>3</w:t>
            </w:r>
            <w:r>
              <w:rPr>
                <w:rFonts w:hint="eastAsia" w:ascii="仿宋_GB2312" w:hAnsi="仿宋_GB2312" w:eastAsia="仿宋_GB2312" w:cs="仿宋_GB2312"/>
                <w:sz w:val="21"/>
                <w:szCs w:val="21"/>
                <w:highlight w:val="none"/>
                <w:lang w:val="en-US" w:eastAsia="zh-CN"/>
              </w:rPr>
              <w:t>5</w:t>
            </w:r>
            <w:r>
              <w:rPr>
                <w:rFonts w:hint="eastAsia" w:ascii="仿宋_GB2312" w:hAnsi="仿宋_GB2312" w:eastAsia="仿宋_GB2312" w:cs="仿宋_GB2312"/>
                <w:sz w:val="21"/>
                <w:szCs w:val="21"/>
                <w:highlight w:val="none"/>
              </w:rPr>
              <w:t>Gbps,</w:t>
            </w:r>
            <w:r>
              <w:rPr>
                <w:rFonts w:hint="default" w:ascii="仿宋_GB2312" w:hAnsi="仿宋_GB2312" w:eastAsia="仿宋_GB2312" w:cs="仿宋_GB2312"/>
                <w:sz w:val="21"/>
                <w:szCs w:val="21"/>
                <w:highlight w:val="none"/>
                <w:lang w:val="en-US"/>
              </w:rPr>
              <w:t>IPS</w:t>
            </w:r>
            <w:r>
              <w:rPr>
                <w:rFonts w:hint="eastAsia" w:ascii="仿宋_GB2312" w:hAnsi="仿宋_GB2312" w:eastAsia="仿宋_GB2312" w:cs="仿宋_GB2312"/>
                <w:sz w:val="21"/>
                <w:szCs w:val="21"/>
                <w:highlight w:val="none"/>
                <w:lang w:val="en-US" w:eastAsia="zh-CN"/>
              </w:rPr>
              <w:t>吞吐量不少于16Gbps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lang w:val="en-US" w:eastAsia="zh-CN"/>
              </w:rPr>
              <w:t>防病毒吞吐量不少于12G</w:t>
            </w:r>
            <w:r>
              <w:rPr>
                <w:rFonts w:hint="default" w:ascii="仿宋_GB2312" w:hAnsi="仿宋_GB2312" w:eastAsia="仿宋_GB2312" w:cs="仿宋_GB2312"/>
                <w:sz w:val="21"/>
                <w:szCs w:val="21"/>
                <w:highlight w:val="none"/>
                <w:lang w:val="en-US" w:eastAsia="zh-CN"/>
              </w:rPr>
              <w:t>bps,</w:t>
            </w:r>
            <w:r>
              <w:rPr>
                <w:rFonts w:hint="eastAsia" w:ascii="仿宋_GB2312" w:hAnsi="仿宋_GB2312" w:eastAsia="仿宋_GB2312" w:cs="仿宋_GB2312"/>
                <w:sz w:val="21"/>
                <w:szCs w:val="21"/>
                <w:highlight w:val="none"/>
                <w:lang w:val="en-US" w:eastAsia="zh-CN"/>
              </w:rPr>
              <w:t>全威胁吞吐量不少于10Gbps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rPr>
              <w:t>并发连接数</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1600万，</w:t>
            </w:r>
            <w:r>
              <w:rPr>
                <w:rFonts w:hint="eastAsia" w:ascii="仿宋_GB2312" w:hAnsi="仿宋_GB2312" w:eastAsia="仿宋_GB2312" w:cs="仿宋_GB2312"/>
                <w:sz w:val="21"/>
                <w:szCs w:val="21"/>
                <w:highlight w:val="none"/>
                <w:lang w:val="en-US" w:eastAsia="zh-CN"/>
              </w:rPr>
              <w:t>内存至少48G，硬盘至少960GB SSD，提供至少4个千兆电口+8个万兆光口SFP+，除要求接口外，需提供扩展槽不少于4个，支持扩展不少于4个40G光口。</w:t>
            </w:r>
          </w:p>
          <w:p w14:paraId="08CBAB0C">
            <w:pPr>
              <w:numPr>
                <w:ilvl w:val="0"/>
                <w:numId w:val="5"/>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设备需</w:t>
            </w:r>
            <w:r>
              <w:rPr>
                <w:rFonts w:hint="eastAsia" w:ascii="仿宋_GB2312" w:hAnsi="仿宋_GB2312" w:eastAsia="仿宋_GB2312" w:cs="仿宋_GB2312"/>
                <w:sz w:val="21"/>
                <w:szCs w:val="21"/>
                <w:highlight w:val="none"/>
                <w:lang w:val="en-US" w:eastAsia="zh-CN"/>
              </w:rPr>
              <w:t>提供</w:t>
            </w:r>
            <w:r>
              <w:rPr>
                <w:rFonts w:hint="eastAsia" w:ascii="仿宋_GB2312" w:hAnsi="仿宋_GB2312" w:eastAsia="仿宋_GB2312" w:cs="仿宋_GB2312"/>
                <w:sz w:val="21"/>
                <w:szCs w:val="21"/>
                <w:highlight w:val="none"/>
              </w:rPr>
              <w:t>IPS、防病毒、</w:t>
            </w:r>
            <w:r>
              <w:rPr>
                <w:rFonts w:hint="eastAsia" w:ascii="仿宋_GB2312" w:hAnsi="仿宋_GB2312" w:eastAsia="仿宋_GB2312" w:cs="仿宋_GB2312"/>
                <w:sz w:val="21"/>
                <w:szCs w:val="21"/>
                <w:highlight w:val="none"/>
                <w:lang w:val="en-US" w:eastAsia="zh-CN"/>
              </w:rPr>
              <w:t>僵尸网络防护、</w:t>
            </w:r>
            <w:r>
              <w:rPr>
                <w:rFonts w:hint="eastAsia" w:ascii="仿宋_GB2312" w:hAnsi="仿宋_GB2312" w:eastAsia="仿宋_GB2312" w:cs="仿宋_GB2312"/>
                <w:sz w:val="21"/>
                <w:szCs w:val="21"/>
                <w:highlight w:val="none"/>
              </w:rPr>
              <w:t>抗DDOS、URL</w:t>
            </w:r>
            <w:r>
              <w:rPr>
                <w:rFonts w:hint="eastAsia" w:ascii="仿宋_GB2312" w:hAnsi="仿宋_GB2312" w:eastAsia="仿宋_GB2312" w:cs="仿宋_GB2312"/>
                <w:sz w:val="21"/>
                <w:szCs w:val="21"/>
                <w:highlight w:val="none"/>
                <w:lang w:val="en-US" w:eastAsia="zh-CN"/>
              </w:rPr>
              <w:t>识别与</w:t>
            </w:r>
            <w:r>
              <w:rPr>
                <w:rFonts w:hint="eastAsia" w:ascii="仿宋_GB2312" w:hAnsi="仿宋_GB2312" w:eastAsia="仿宋_GB2312" w:cs="仿宋_GB2312"/>
                <w:sz w:val="21"/>
                <w:szCs w:val="21"/>
                <w:highlight w:val="none"/>
              </w:rPr>
              <w:t>过滤、恶意访问查杀</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网关杀毒等功能。</w:t>
            </w:r>
          </w:p>
          <w:p w14:paraId="6C3764CB">
            <w:pPr>
              <w:numPr>
                <w:ilvl w:val="0"/>
                <w:numId w:val="5"/>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需</w:t>
            </w:r>
            <w:r>
              <w:rPr>
                <w:rFonts w:hint="eastAsia" w:ascii="仿宋_GB2312" w:hAnsi="仿宋_GB2312" w:eastAsia="仿宋_GB2312" w:cs="仿宋_GB2312"/>
                <w:sz w:val="21"/>
                <w:szCs w:val="21"/>
                <w:highlight w:val="none"/>
                <w:lang w:val="en-US" w:eastAsia="zh-CN"/>
              </w:rPr>
              <w:t>具备对新型未知病毒以及</w:t>
            </w:r>
            <w:r>
              <w:rPr>
                <w:rFonts w:hint="eastAsia" w:ascii="仿宋_GB2312" w:hAnsi="仿宋_GB2312" w:eastAsia="仿宋_GB2312" w:cs="仿宋_GB2312"/>
                <w:sz w:val="21"/>
                <w:szCs w:val="21"/>
                <w:highlight w:val="none"/>
              </w:rPr>
              <w:t>高级威胁，包括勒索病毒、APT、0day漏洞、加密恶意流量</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勒索病毒的自主检测识别与实时阻断能力。</w:t>
            </w:r>
          </w:p>
          <w:p w14:paraId="2B483E1D">
            <w:pPr>
              <w:numPr>
                <w:ilvl w:val="0"/>
                <w:numId w:val="5"/>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支持双机热备、集群部署、会话表同步，设备故障、链路中断可实现无感知秒级切换，保障在单台设备故障时业务系统可稳定运行。</w:t>
            </w:r>
          </w:p>
          <w:p w14:paraId="3E2ADEB9">
            <w:pPr>
              <w:numPr>
                <w:ilvl w:val="0"/>
                <w:numId w:val="5"/>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具备对访问行为、攻击事件、策略命中、数据操作进行全量日志记录，实现日志外发、溯源分析，满足等保2.0三级及医疗数据安全合规要求</w:t>
            </w:r>
            <w:r>
              <w:rPr>
                <w:rFonts w:hint="eastAsia" w:ascii="仿宋_GB2312" w:hAnsi="仿宋_GB2312" w:eastAsia="仿宋_GB2312" w:cs="仿宋_GB2312"/>
                <w:sz w:val="21"/>
                <w:szCs w:val="21"/>
                <w:highlight w:val="none"/>
                <w:lang w:eastAsia="zh-CN"/>
              </w:rPr>
              <w:t>。</w:t>
            </w:r>
          </w:p>
          <w:p w14:paraId="349C1EC5">
            <w:pPr>
              <w:numPr>
                <w:ilvl w:val="0"/>
                <w:numId w:val="5"/>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具备</w:t>
            </w:r>
            <w:r>
              <w:rPr>
                <w:rFonts w:hint="eastAsia" w:ascii="仿宋_GB2312" w:hAnsi="仿宋_GB2312" w:eastAsia="仿宋_GB2312" w:cs="仿宋_GB2312"/>
                <w:sz w:val="21"/>
                <w:szCs w:val="21"/>
                <w:highlight w:val="none"/>
                <w:lang w:val="en-US" w:eastAsia="zh-CN"/>
              </w:rPr>
              <w:t>业务访问</w:t>
            </w:r>
            <w:r>
              <w:rPr>
                <w:rFonts w:hint="eastAsia" w:ascii="仿宋_GB2312" w:hAnsi="仿宋_GB2312" w:eastAsia="仿宋_GB2312" w:cs="仿宋_GB2312"/>
                <w:sz w:val="21"/>
                <w:szCs w:val="21"/>
                <w:highlight w:val="none"/>
              </w:rPr>
              <w:t>过载保护</w:t>
            </w:r>
            <w:r>
              <w:rPr>
                <w:rFonts w:hint="eastAsia" w:ascii="仿宋_GB2312" w:hAnsi="仿宋_GB2312" w:eastAsia="仿宋_GB2312" w:cs="仿宋_GB2312"/>
                <w:sz w:val="21"/>
                <w:szCs w:val="21"/>
                <w:highlight w:val="none"/>
                <w:lang w:val="en-US" w:eastAsia="zh-CN"/>
              </w:rPr>
              <w:t>能力</w:t>
            </w:r>
            <w:r>
              <w:rPr>
                <w:rFonts w:hint="eastAsia" w:ascii="仿宋_GB2312" w:hAnsi="仿宋_GB2312" w:eastAsia="仿宋_GB2312" w:cs="仿宋_GB2312"/>
                <w:sz w:val="21"/>
                <w:szCs w:val="21"/>
                <w:highlight w:val="none"/>
              </w:rPr>
              <w:t>，若瞬时网络流量超过防火墙IPS吞吐量，可自动切换网络转发</w:t>
            </w:r>
            <w:r>
              <w:rPr>
                <w:rFonts w:hint="eastAsia" w:ascii="仿宋_GB2312" w:hAnsi="仿宋_GB2312" w:eastAsia="仿宋_GB2312" w:cs="仿宋_GB2312"/>
                <w:sz w:val="21"/>
                <w:szCs w:val="21"/>
                <w:highlight w:val="none"/>
                <w:lang w:val="en-US" w:eastAsia="zh-CN"/>
              </w:rPr>
              <w:t>保障业务稳定运行</w:t>
            </w:r>
            <w:r>
              <w:rPr>
                <w:rFonts w:hint="eastAsia" w:ascii="仿宋_GB2312" w:hAnsi="仿宋_GB2312" w:eastAsia="仿宋_GB2312" w:cs="仿宋_GB2312"/>
                <w:sz w:val="21"/>
                <w:szCs w:val="21"/>
                <w:highlight w:val="none"/>
                <w:lang w:eastAsia="zh-CN"/>
              </w:rPr>
              <w:t>。</w:t>
            </w:r>
          </w:p>
          <w:p w14:paraId="46B13C6C">
            <w:pPr>
              <w:numPr>
                <w:ilvl w:val="0"/>
                <w:numId w:val="5"/>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需提供</w:t>
            </w:r>
            <w:r>
              <w:rPr>
                <w:rFonts w:hint="eastAsia" w:ascii="仿宋_GB2312" w:hAnsi="仿宋_GB2312" w:eastAsia="仿宋_GB2312" w:cs="仿宋_GB2312"/>
                <w:sz w:val="21"/>
                <w:szCs w:val="21"/>
                <w:highlight w:val="none"/>
                <w:lang w:eastAsia="zh-CN"/>
              </w:rPr>
              <w:t>至少5年硬件</w:t>
            </w:r>
            <w:r>
              <w:rPr>
                <w:rFonts w:hint="eastAsia" w:ascii="仿宋_GB2312" w:hAnsi="仿宋_GB2312" w:eastAsia="仿宋_GB2312" w:cs="仿宋_GB2312"/>
                <w:sz w:val="21"/>
                <w:szCs w:val="21"/>
                <w:highlight w:val="none"/>
              </w:rPr>
              <w:t>质保、软件升级和病毒规则库升级</w:t>
            </w:r>
            <w:r>
              <w:rPr>
                <w:rFonts w:hint="eastAsia" w:ascii="仿宋_GB2312" w:hAnsi="仿宋_GB2312" w:eastAsia="仿宋_GB2312" w:cs="仿宋_GB2312"/>
                <w:sz w:val="21"/>
                <w:szCs w:val="21"/>
                <w:highlight w:val="none"/>
                <w:lang w:eastAsia="zh-CN"/>
              </w:rPr>
              <w:t>。</w:t>
            </w:r>
          </w:p>
          <w:p w14:paraId="11FFE5A0">
            <w:pPr>
              <w:numPr>
                <w:ilvl w:val="0"/>
                <w:numId w:val="5"/>
              </w:numP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rPr>
              <w:t>需</w:t>
            </w:r>
            <w:r>
              <w:rPr>
                <w:rFonts w:hint="eastAsia" w:ascii="仿宋_GB2312" w:hAnsi="仿宋_GB2312" w:eastAsia="仿宋_GB2312" w:cs="仿宋_GB2312"/>
                <w:sz w:val="21"/>
                <w:szCs w:val="21"/>
                <w:highlight w:val="none"/>
                <w:lang w:val="en-US" w:eastAsia="zh-CN"/>
              </w:rPr>
              <w:t>具备</w:t>
            </w:r>
            <w:r>
              <w:rPr>
                <w:rFonts w:hint="eastAsia" w:ascii="仿宋_GB2312" w:hAnsi="仿宋_GB2312" w:eastAsia="仿宋_GB2312" w:cs="仿宋_GB2312"/>
                <w:sz w:val="21"/>
                <w:szCs w:val="21"/>
                <w:highlight w:val="none"/>
              </w:rPr>
              <w:t>与医院现有态势感知平台</w:t>
            </w:r>
            <w:r>
              <w:rPr>
                <w:rFonts w:hint="eastAsia" w:ascii="仿宋_GB2312" w:hAnsi="仿宋_GB2312" w:eastAsia="仿宋_GB2312" w:cs="仿宋_GB2312"/>
                <w:sz w:val="21"/>
                <w:szCs w:val="21"/>
                <w:highlight w:val="none"/>
                <w:lang w:val="en-US" w:eastAsia="zh-CN"/>
              </w:rPr>
              <w:t>联动对接能力，将设备产生安全日志实时同步至平台进行安全事件</w:t>
            </w:r>
            <w:r>
              <w:rPr>
                <w:rFonts w:hint="default" w:ascii="仿宋_GB2312" w:hAnsi="仿宋_GB2312" w:eastAsia="仿宋_GB2312" w:cs="仿宋_GB2312"/>
                <w:sz w:val="21"/>
                <w:szCs w:val="21"/>
                <w:highlight w:val="none"/>
                <w:lang w:val="en-US" w:eastAsia="zh-CN"/>
              </w:rPr>
              <w:t>溯源分析</w:t>
            </w:r>
            <w:r>
              <w:rPr>
                <w:rFonts w:hint="eastAsia" w:ascii="仿宋_GB2312" w:hAnsi="仿宋_GB2312" w:eastAsia="仿宋_GB2312" w:cs="仿宋_GB2312"/>
                <w:sz w:val="21"/>
                <w:szCs w:val="21"/>
                <w:highlight w:val="none"/>
                <w:lang w:val="en-US" w:eastAsia="zh-CN"/>
              </w:rPr>
              <w:t>和应用访问控制。</w:t>
            </w:r>
          </w:p>
        </w:tc>
      </w:tr>
      <w:tr w14:paraId="6A57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5C06CFED">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1383" w:type="dxa"/>
            <w:vAlign w:val="center"/>
          </w:tcPr>
          <w:p w14:paraId="676A255D">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内网双活数据中心防火墙</w:t>
            </w:r>
          </w:p>
        </w:tc>
        <w:tc>
          <w:tcPr>
            <w:tcW w:w="789" w:type="dxa"/>
            <w:vAlign w:val="center"/>
          </w:tcPr>
          <w:p w14:paraId="34911C12">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2台</w:t>
            </w:r>
          </w:p>
        </w:tc>
        <w:tc>
          <w:tcPr>
            <w:tcW w:w="5701" w:type="dxa"/>
          </w:tcPr>
          <w:p w14:paraId="48E2C6D3">
            <w:pPr>
              <w:numPr>
                <w:ilvl w:val="0"/>
                <w:numId w:val="6"/>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作为内网数据中心核心安全设备，需具备</w:t>
            </w:r>
            <w:r>
              <w:rPr>
                <w:rFonts w:hint="eastAsia" w:ascii="仿宋_GB2312" w:hAnsi="仿宋_GB2312" w:eastAsia="仿宋_GB2312" w:cs="仿宋_GB2312"/>
                <w:sz w:val="21"/>
                <w:szCs w:val="21"/>
                <w:highlight w:val="none"/>
              </w:rPr>
              <w:t>网路层吞吐量</w:t>
            </w:r>
            <w:r>
              <w:rPr>
                <w:rFonts w:hint="eastAsia" w:ascii="仿宋_GB2312" w:hAnsi="仿宋_GB2312" w:eastAsia="仿宋_GB2312" w:cs="仿宋_GB2312"/>
                <w:sz w:val="21"/>
                <w:szCs w:val="21"/>
                <w:highlight w:val="none"/>
                <w:lang w:val="en-US" w:eastAsia="zh-CN"/>
              </w:rPr>
              <w:t>不少于5</w:t>
            </w:r>
            <w:r>
              <w:rPr>
                <w:rFonts w:hint="eastAsia" w:ascii="仿宋_GB2312" w:hAnsi="仿宋_GB2312" w:eastAsia="仿宋_GB2312" w:cs="仿宋_GB2312"/>
                <w:sz w:val="21"/>
                <w:szCs w:val="21"/>
                <w:highlight w:val="none"/>
              </w:rPr>
              <w:t>0Gbps，应用层吞吐量</w:t>
            </w:r>
            <w:r>
              <w:rPr>
                <w:rFonts w:hint="eastAsia" w:ascii="仿宋_GB2312" w:hAnsi="仿宋_GB2312" w:eastAsia="仿宋_GB2312" w:cs="仿宋_GB2312"/>
                <w:sz w:val="21"/>
                <w:szCs w:val="21"/>
                <w:highlight w:val="none"/>
                <w:lang w:val="en-US" w:eastAsia="zh-CN"/>
              </w:rPr>
              <w:t>不少于</w:t>
            </w:r>
            <w:r>
              <w:rPr>
                <w:rFonts w:hint="eastAsia" w:ascii="仿宋_GB2312" w:hAnsi="仿宋_GB2312" w:eastAsia="仿宋_GB2312" w:cs="仿宋_GB2312"/>
                <w:sz w:val="21"/>
                <w:szCs w:val="21"/>
                <w:highlight w:val="none"/>
              </w:rPr>
              <w:t>3</w:t>
            </w:r>
            <w:r>
              <w:rPr>
                <w:rFonts w:hint="eastAsia" w:ascii="仿宋_GB2312" w:hAnsi="仿宋_GB2312" w:eastAsia="仿宋_GB2312" w:cs="仿宋_GB2312"/>
                <w:sz w:val="21"/>
                <w:szCs w:val="21"/>
                <w:highlight w:val="none"/>
                <w:lang w:val="en-US" w:eastAsia="zh-CN"/>
              </w:rPr>
              <w:t>0</w:t>
            </w:r>
            <w:r>
              <w:rPr>
                <w:rFonts w:hint="eastAsia" w:ascii="仿宋_GB2312" w:hAnsi="仿宋_GB2312" w:eastAsia="仿宋_GB2312" w:cs="仿宋_GB2312"/>
                <w:sz w:val="21"/>
                <w:szCs w:val="21"/>
                <w:highlight w:val="none"/>
              </w:rPr>
              <w:t>Gbps,</w:t>
            </w:r>
            <w:r>
              <w:rPr>
                <w:rFonts w:hint="default" w:ascii="仿宋_GB2312" w:hAnsi="仿宋_GB2312" w:eastAsia="仿宋_GB2312" w:cs="仿宋_GB2312"/>
                <w:sz w:val="21"/>
                <w:szCs w:val="21"/>
                <w:highlight w:val="none"/>
                <w:lang w:val="en-US"/>
              </w:rPr>
              <w:t>IPS</w:t>
            </w:r>
            <w:r>
              <w:rPr>
                <w:rFonts w:hint="eastAsia" w:ascii="仿宋_GB2312" w:hAnsi="仿宋_GB2312" w:eastAsia="仿宋_GB2312" w:cs="仿宋_GB2312"/>
                <w:sz w:val="21"/>
                <w:szCs w:val="21"/>
                <w:highlight w:val="none"/>
                <w:lang w:val="en-US" w:eastAsia="zh-CN"/>
              </w:rPr>
              <w:t>吞吐量不少于6Gbps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lang w:val="en-US" w:eastAsia="zh-CN"/>
              </w:rPr>
              <w:t>防病毒吞吐量不少于7G</w:t>
            </w:r>
            <w:r>
              <w:rPr>
                <w:rFonts w:hint="default" w:ascii="仿宋_GB2312" w:hAnsi="仿宋_GB2312" w:eastAsia="仿宋_GB2312" w:cs="仿宋_GB2312"/>
                <w:sz w:val="21"/>
                <w:szCs w:val="21"/>
                <w:highlight w:val="none"/>
                <w:lang w:val="en-US" w:eastAsia="zh-CN"/>
              </w:rPr>
              <w:t>bps,</w:t>
            </w:r>
            <w:r>
              <w:rPr>
                <w:rFonts w:hint="eastAsia" w:ascii="仿宋_GB2312" w:hAnsi="仿宋_GB2312" w:eastAsia="仿宋_GB2312" w:cs="仿宋_GB2312"/>
                <w:sz w:val="21"/>
                <w:szCs w:val="21"/>
                <w:highlight w:val="none"/>
                <w:lang w:val="en-US" w:eastAsia="zh-CN"/>
              </w:rPr>
              <w:t>全威胁吞吐量不少于3Gbps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rPr>
              <w:t>并发连接数</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lang w:val="en-US" w:eastAsia="zh-CN"/>
              </w:rPr>
              <w:t>800</w:t>
            </w:r>
            <w:r>
              <w:rPr>
                <w:rFonts w:hint="eastAsia" w:ascii="仿宋_GB2312" w:hAnsi="仿宋_GB2312" w:eastAsia="仿宋_GB2312" w:cs="仿宋_GB2312"/>
                <w:sz w:val="21"/>
                <w:szCs w:val="21"/>
                <w:highlight w:val="none"/>
              </w:rPr>
              <w:t>万，</w:t>
            </w:r>
            <w:r>
              <w:rPr>
                <w:rFonts w:hint="eastAsia" w:ascii="仿宋_GB2312" w:hAnsi="仿宋_GB2312" w:eastAsia="仿宋_GB2312" w:cs="仿宋_GB2312"/>
                <w:sz w:val="21"/>
                <w:szCs w:val="21"/>
                <w:highlight w:val="none"/>
                <w:lang w:val="en-US" w:eastAsia="zh-CN"/>
              </w:rPr>
              <w:t>内存至少32G，硬盘至少480GB SSD，提供至少6个千兆电口+6个万兆光口SFP+，除要求接口外，需提供扩展槽不少于4个，支持扩展不少于4个40G光口。</w:t>
            </w:r>
          </w:p>
          <w:p w14:paraId="23EA516D">
            <w:pPr>
              <w:numPr>
                <w:ilvl w:val="0"/>
                <w:numId w:val="6"/>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设备需</w:t>
            </w:r>
            <w:r>
              <w:rPr>
                <w:rFonts w:hint="eastAsia" w:ascii="仿宋_GB2312" w:hAnsi="仿宋_GB2312" w:eastAsia="仿宋_GB2312" w:cs="仿宋_GB2312"/>
                <w:sz w:val="21"/>
                <w:szCs w:val="21"/>
                <w:highlight w:val="none"/>
                <w:lang w:val="en-US" w:eastAsia="zh-CN"/>
              </w:rPr>
              <w:t>提供</w:t>
            </w:r>
            <w:r>
              <w:rPr>
                <w:rFonts w:hint="eastAsia" w:ascii="仿宋_GB2312" w:hAnsi="仿宋_GB2312" w:eastAsia="仿宋_GB2312" w:cs="仿宋_GB2312"/>
                <w:sz w:val="21"/>
                <w:szCs w:val="21"/>
                <w:highlight w:val="none"/>
              </w:rPr>
              <w:t>IPS、防病毒、</w:t>
            </w:r>
            <w:r>
              <w:rPr>
                <w:rFonts w:hint="eastAsia" w:ascii="仿宋_GB2312" w:hAnsi="仿宋_GB2312" w:eastAsia="仿宋_GB2312" w:cs="仿宋_GB2312"/>
                <w:sz w:val="21"/>
                <w:szCs w:val="21"/>
                <w:highlight w:val="none"/>
                <w:lang w:val="en-US" w:eastAsia="zh-CN"/>
              </w:rPr>
              <w:t>僵尸网络防护、</w:t>
            </w:r>
            <w:r>
              <w:rPr>
                <w:rFonts w:hint="eastAsia" w:ascii="仿宋_GB2312" w:hAnsi="仿宋_GB2312" w:eastAsia="仿宋_GB2312" w:cs="仿宋_GB2312"/>
                <w:sz w:val="21"/>
                <w:szCs w:val="21"/>
                <w:highlight w:val="none"/>
              </w:rPr>
              <w:t>抗DDOS、URL</w:t>
            </w:r>
            <w:r>
              <w:rPr>
                <w:rFonts w:hint="eastAsia" w:ascii="仿宋_GB2312" w:hAnsi="仿宋_GB2312" w:eastAsia="仿宋_GB2312" w:cs="仿宋_GB2312"/>
                <w:sz w:val="21"/>
                <w:szCs w:val="21"/>
                <w:highlight w:val="none"/>
                <w:lang w:val="en-US" w:eastAsia="zh-CN"/>
              </w:rPr>
              <w:t>识别与</w:t>
            </w:r>
            <w:r>
              <w:rPr>
                <w:rFonts w:hint="eastAsia" w:ascii="仿宋_GB2312" w:hAnsi="仿宋_GB2312" w:eastAsia="仿宋_GB2312" w:cs="仿宋_GB2312"/>
                <w:sz w:val="21"/>
                <w:szCs w:val="21"/>
                <w:highlight w:val="none"/>
              </w:rPr>
              <w:t>过滤、恶意访问查杀</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网关杀毒等功能。</w:t>
            </w:r>
          </w:p>
          <w:p w14:paraId="04D30131">
            <w:pPr>
              <w:numPr>
                <w:ilvl w:val="0"/>
                <w:numId w:val="6"/>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需</w:t>
            </w:r>
            <w:r>
              <w:rPr>
                <w:rFonts w:hint="eastAsia" w:ascii="仿宋_GB2312" w:hAnsi="仿宋_GB2312" w:eastAsia="仿宋_GB2312" w:cs="仿宋_GB2312"/>
                <w:sz w:val="21"/>
                <w:szCs w:val="21"/>
                <w:highlight w:val="none"/>
                <w:lang w:val="en-US" w:eastAsia="zh-CN"/>
              </w:rPr>
              <w:t>具备对新型未知病毒以及</w:t>
            </w:r>
            <w:r>
              <w:rPr>
                <w:rFonts w:hint="eastAsia" w:ascii="仿宋_GB2312" w:hAnsi="仿宋_GB2312" w:eastAsia="仿宋_GB2312" w:cs="仿宋_GB2312"/>
                <w:sz w:val="21"/>
                <w:szCs w:val="21"/>
                <w:highlight w:val="none"/>
              </w:rPr>
              <w:t>高级威胁，包括勒索病毒、APT、0day漏洞、加密恶意流量</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勒索病毒的自主检测识别与实时阻断能力。</w:t>
            </w:r>
          </w:p>
          <w:p w14:paraId="28B4E952">
            <w:pPr>
              <w:numPr>
                <w:ilvl w:val="0"/>
                <w:numId w:val="6"/>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支持双机热备、集群部署、会话表同步，设备故障、链路中断可实现无感知秒级切换，保障在单台设备故障时业务系统可稳定运行。</w:t>
            </w:r>
          </w:p>
          <w:p w14:paraId="51F89E1B">
            <w:pPr>
              <w:numPr>
                <w:ilvl w:val="0"/>
                <w:numId w:val="6"/>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具备对访问行为、攻击事件、策略命中、数据操作进行全量日志记录，实现日志外发、溯源分析，满足等保2.0三级及医疗数据安全合规要求</w:t>
            </w:r>
            <w:r>
              <w:rPr>
                <w:rFonts w:hint="eastAsia" w:ascii="仿宋_GB2312" w:hAnsi="仿宋_GB2312" w:eastAsia="仿宋_GB2312" w:cs="仿宋_GB2312"/>
                <w:sz w:val="21"/>
                <w:szCs w:val="21"/>
                <w:highlight w:val="none"/>
                <w:lang w:eastAsia="zh-CN"/>
              </w:rPr>
              <w:t>。</w:t>
            </w:r>
          </w:p>
          <w:p w14:paraId="7CC33117">
            <w:pPr>
              <w:numPr>
                <w:ilvl w:val="0"/>
                <w:numId w:val="6"/>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具备</w:t>
            </w:r>
            <w:r>
              <w:rPr>
                <w:rFonts w:hint="eastAsia" w:ascii="仿宋_GB2312" w:hAnsi="仿宋_GB2312" w:eastAsia="仿宋_GB2312" w:cs="仿宋_GB2312"/>
                <w:sz w:val="21"/>
                <w:szCs w:val="21"/>
                <w:highlight w:val="none"/>
                <w:lang w:val="en-US" w:eastAsia="zh-CN"/>
              </w:rPr>
              <w:t>业务访问</w:t>
            </w:r>
            <w:r>
              <w:rPr>
                <w:rFonts w:hint="eastAsia" w:ascii="仿宋_GB2312" w:hAnsi="仿宋_GB2312" w:eastAsia="仿宋_GB2312" w:cs="仿宋_GB2312"/>
                <w:sz w:val="21"/>
                <w:szCs w:val="21"/>
                <w:highlight w:val="none"/>
              </w:rPr>
              <w:t>过载保护</w:t>
            </w:r>
            <w:r>
              <w:rPr>
                <w:rFonts w:hint="eastAsia" w:ascii="仿宋_GB2312" w:hAnsi="仿宋_GB2312" w:eastAsia="仿宋_GB2312" w:cs="仿宋_GB2312"/>
                <w:sz w:val="21"/>
                <w:szCs w:val="21"/>
                <w:highlight w:val="none"/>
                <w:lang w:val="en-US" w:eastAsia="zh-CN"/>
              </w:rPr>
              <w:t>能力</w:t>
            </w:r>
            <w:r>
              <w:rPr>
                <w:rFonts w:hint="eastAsia" w:ascii="仿宋_GB2312" w:hAnsi="仿宋_GB2312" w:eastAsia="仿宋_GB2312" w:cs="仿宋_GB2312"/>
                <w:sz w:val="21"/>
                <w:szCs w:val="21"/>
                <w:highlight w:val="none"/>
              </w:rPr>
              <w:t>，若瞬时网络流量超过防火墙IPS吞吐量，可自动切换网络转发</w:t>
            </w:r>
            <w:r>
              <w:rPr>
                <w:rFonts w:hint="eastAsia" w:ascii="仿宋_GB2312" w:hAnsi="仿宋_GB2312" w:eastAsia="仿宋_GB2312" w:cs="仿宋_GB2312"/>
                <w:sz w:val="21"/>
                <w:szCs w:val="21"/>
                <w:highlight w:val="none"/>
                <w:lang w:val="en-US" w:eastAsia="zh-CN"/>
              </w:rPr>
              <w:t>保障业务稳定运行</w:t>
            </w:r>
            <w:r>
              <w:rPr>
                <w:rFonts w:hint="eastAsia" w:ascii="仿宋_GB2312" w:hAnsi="仿宋_GB2312" w:eastAsia="仿宋_GB2312" w:cs="仿宋_GB2312"/>
                <w:sz w:val="21"/>
                <w:szCs w:val="21"/>
                <w:highlight w:val="none"/>
                <w:lang w:eastAsia="zh-CN"/>
              </w:rPr>
              <w:t>。</w:t>
            </w:r>
          </w:p>
          <w:p w14:paraId="44E46E6F">
            <w:pPr>
              <w:numPr>
                <w:ilvl w:val="0"/>
                <w:numId w:val="6"/>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rPr>
              <w:t>需提供</w:t>
            </w:r>
            <w:r>
              <w:rPr>
                <w:rFonts w:hint="eastAsia" w:ascii="仿宋_GB2312" w:hAnsi="仿宋_GB2312" w:eastAsia="仿宋_GB2312" w:cs="仿宋_GB2312"/>
                <w:sz w:val="21"/>
                <w:szCs w:val="21"/>
                <w:highlight w:val="none"/>
                <w:lang w:eastAsia="zh-CN"/>
              </w:rPr>
              <w:t>至少5年硬件</w:t>
            </w:r>
            <w:r>
              <w:rPr>
                <w:rFonts w:hint="eastAsia" w:ascii="仿宋_GB2312" w:hAnsi="仿宋_GB2312" w:eastAsia="仿宋_GB2312" w:cs="仿宋_GB2312"/>
                <w:sz w:val="21"/>
                <w:szCs w:val="21"/>
                <w:highlight w:val="none"/>
              </w:rPr>
              <w:t>质保、软件升级和病毒规则库升级</w:t>
            </w:r>
            <w:r>
              <w:rPr>
                <w:rFonts w:hint="eastAsia" w:ascii="仿宋_GB2312" w:hAnsi="仿宋_GB2312" w:eastAsia="仿宋_GB2312" w:cs="仿宋_GB2312"/>
                <w:sz w:val="21"/>
                <w:szCs w:val="21"/>
                <w:highlight w:val="none"/>
                <w:lang w:eastAsia="zh-CN"/>
              </w:rPr>
              <w:t>。</w:t>
            </w:r>
          </w:p>
          <w:p w14:paraId="277E8FED">
            <w:pPr>
              <w:numPr>
                <w:ilvl w:val="0"/>
                <w:numId w:val="0"/>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需</w:t>
            </w:r>
            <w:r>
              <w:rPr>
                <w:rFonts w:hint="eastAsia" w:ascii="仿宋_GB2312" w:hAnsi="仿宋_GB2312" w:eastAsia="仿宋_GB2312" w:cs="仿宋_GB2312"/>
                <w:sz w:val="21"/>
                <w:szCs w:val="21"/>
                <w:highlight w:val="none"/>
                <w:lang w:val="en-US" w:eastAsia="zh-CN"/>
              </w:rPr>
              <w:t>具备</w:t>
            </w:r>
            <w:r>
              <w:rPr>
                <w:rFonts w:hint="eastAsia" w:ascii="仿宋_GB2312" w:hAnsi="仿宋_GB2312" w:eastAsia="仿宋_GB2312" w:cs="仿宋_GB2312"/>
                <w:sz w:val="21"/>
                <w:szCs w:val="21"/>
                <w:highlight w:val="none"/>
              </w:rPr>
              <w:t>与医院现有态势感知平台</w:t>
            </w:r>
            <w:r>
              <w:rPr>
                <w:rFonts w:hint="eastAsia" w:ascii="仿宋_GB2312" w:hAnsi="仿宋_GB2312" w:eastAsia="仿宋_GB2312" w:cs="仿宋_GB2312"/>
                <w:sz w:val="21"/>
                <w:szCs w:val="21"/>
                <w:highlight w:val="none"/>
                <w:lang w:val="en-US" w:eastAsia="zh-CN"/>
              </w:rPr>
              <w:t>联动对接能力，将设备产生安全日志实时同步至平台进行安全事件</w:t>
            </w:r>
            <w:r>
              <w:rPr>
                <w:rFonts w:hint="default" w:ascii="仿宋_GB2312" w:hAnsi="仿宋_GB2312" w:eastAsia="仿宋_GB2312" w:cs="仿宋_GB2312"/>
                <w:sz w:val="21"/>
                <w:szCs w:val="21"/>
                <w:highlight w:val="none"/>
                <w:lang w:val="en-US" w:eastAsia="zh-CN"/>
              </w:rPr>
              <w:t>溯源分析</w:t>
            </w:r>
            <w:r>
              <w:rPr>
                <w:rFonts w:hint="eastAsia" w:ascii="仿宋_GB2312" w:hAnsi="仿宋_GB2312" w:eastAsia="仿宋_GB2312" w:cs="仿宋_GB2312"/>
                <w:sz w:val="21"/>
                <w:szCs w:val="21"/>
                <w:highlight w:val="none"/>
                <w:lang w:val="en-US" w:eastAsia="zh-CN"/>
              </w:rPr>
              <w:t>和应用访问控制。</w:t>
            </w:r>
          </w:p>
        </w:tc>
      </w:tr>
      <w:tr w14:paraId="040E2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11E8B0B7">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3</w:t>
            </w:r>
          </w:p>
        </w:tc>
        <w:tc>
          <w:tcPr>
            <w:tcW w:w="1383" w:type="dxa"/>
            <w:vAlign w:val="center"/>
          </w:tcPr>
          <w:p w14:paraId="46D15FB8">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内网</w:t>
            </w:r>
            <w:r>
              <w:rPr>
                <w:rFonts w:hint="eastAsia" w:ascii="仿宋_GB2312" w:hAnsi="仿宋_GB2312" w:eastAsia="仿宋_GB2312" w:cs="仿宋_GB2312"/>
                <w:sz w:val="21"/>
                <w:szCs w:val="21"/>
                <w:highlight w:val="none"/>
              </w:rPr>
              <w:t>物联网防火墙</w:t>
            </w:r>
          </w:p>
        </w:tc>
        <w:tc>
          <w:tcPr>
            <w:tcW w:w="789" w:type="dxa"/>
            <w:vAlign w:val="center"/>
          </w:tcPr>
          <w:p w14:paraId="009926C8">
            <w:pPr>
              <w:jc w:val="cente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1</w:t>
            </w:r>
            <w:r>
              <w:rPr>
                <w:rFonts w:hint="eastAsia" w:ascii="仿宋_GB2312" w:hAnsi="仿宋_GB2312" w:eastAsia="仿宋_GB2312" w:cs="仿宋_GB2312"/>
                <w:sz w:val="21"/>
                <w:szCs w:val="21"/>
                <w:highlight w:val="none"/>
              </w:rPr>
              <w:t>台</w:t>
            </w:r>
          </w:p>
        </w:tc>
        <w:tc>
          <w:tcPr>
            <w:tcW w:w="5701" w:type="dxa"/>
          </w:tcPr>
          <w:p w14:paraId="017DCC84">
            <w:pPr>
              <w:numPr>
                <w:ilvl w:val="0"/>
                <w:numId w:val="7"/>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设备需具备网络层吞吐量不少于10Gbps，应用层吞吐量不少于5Gbps，防病毒吞吐量不少于1G</w:t>
            </w:r>
            <w:r>
              <w:rPr>
                <w:rFonts w:hint="default" w:ascii="仿宋_GB2312" w:hAnsi="仿宋_GB2312" w:eastAsia="仿宋_GB2312" w:cs="仿宋_GB2312"/>
                <w:sz w:val="21"/>
                <w:szCs w:val="21"/>
                <w:highlight w:val="none"/>
                <w:lang w:val="en-US" w:eastAsia="zh-CN"/>
              </w:rPr>
              <w:t>bps,</w:t>
            </w:r>
            <w:r>
              <w:rPr>
                <w:rFonts w:hint="eastAsia" w:ascii="仿宋_GB2312" w:hAnsi="仿宋_GB2312" w:eastAsia="仿宋_GB2312" w:cs="仿宋_GB2312"/>
                <w:sz w:val="21"/>
                <w:szCs w:val="21"/>
                <w:highlight w:val="none"/>
                <w:lang w:val="en-US" w:eastAsia="zh-CN"/>
              </w:rPr>
              <w:t>全威胁吞吐量不少于800Mbps</w:t>
            </w:r>
            <w:r>
              <w:rPr>
                <w:rFonts w:hint="default" w:ascii="仿宋_GB2312" w:hAnsi="仿宋_GB2312" w:eastAsia="仿宋_GB2312" w:cs="仿宋_GB2312"/>
                <w:sz w:val="21"/>
                <w:szCs w:val="21"/>
                <w:highlight w:val="none"/>
                <w:lang w:val="en-US" w:eastAsia="zh-CN"/>
              </w:rPr>
              <w:t>,</w:t>
            </w:r>
            <w:r>
              <w:rPr>
                <w:rFonts w:hint="eastAsia" w:ascii="仿宋_GB2312" w:hAnsi="仿宋_GB2312" w:eastAsia="仿宋_GB2312" w:cs="仿宋_GB2312"/>
                <w:sz w:val="21"/>
                <w:szCs w:val="21"/>
                <w:highlight w:val="none"/>
                <w:lang w:val="en-US" w:eastAsia="zh-CN"/>
              </w:rPr>
              <w:t>并发连接数不少于200万，内存不少于8G，硬盘不少于128GB SSD，提供至少8个千兆电口和2个万兆光口SFP+，防火墙设备需自带IPS、防病毒、URL过滤、恶意访问查杀能力，具备监测并阻断内网边界出口的病毒传播、勒索软件横向扩散、异常扫描与渗透等能力，防止单点感染扩散内网。</w:t>
            </w:r>
          </w:p>
          <w:p w14:paraId="3B5587C4">
            <w:pPr>
              <w:numPr>
                <w:ilvl w:val="0"/>
                <w:numId w:val="7"/>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具备双机热备切换能力，保证设备高可用性，其中切换时间不大于30秒，保障在单台设备故障时医院业务可稳定运行。</w:t>
            </w:r>
          </w:p>
          <w:p w14:paraId="0BFF254A">
            <w:pPr>
              <w:numPr>
                <w:ilvl w:val="0"/>
                <w:numId w:val="7"/>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需具备内网访问登录安全防护、暴力破解拦截与全程行为审计等能力，符合医疗行业数据保密与等级保护合规要求，防止业务访问越权、信息外泄等安全隐患。</w:t>
            </w:r>
          </w:p>
          <w:p w14:paraId="1261DF17">
            <w:pPr>
              <w:numPr>
                <w:ilvl w:val="0"/>
                <w:numId w:val="7"/>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设备需符合《信息安全技术 网络安全等级保护基本要求》（GB/T22239-2019）三级标准。</w:t>
            </w:r>
          </w:p>
          <w:p w14:paraId="7083B299">
            <w:pPr>
              <w:numPr>
                <w:ilvl w:val="0"/>
                <w:numId w:val="7"/>
              </w:num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需具备光华院区与西区灾备中心网络隔离，仅开放数据同步、运维管理必要端口。</w:t>
            </w:r>
          </w:p>
          <w:p w14:paraId="75D211A1">
            <w:pPr>
              <w:numPr>
                <w:ilvl w:val="0"/>
                <w:numId w:val="8"/>
              </w:numP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需提供至少5年硬件质保、软件升级和病毒规则库升级。</w:t>
            </w:r>
          </w:p>
        </w:tc>
      </w:tr>
      <w:tr w14:paraId="7409D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003D32F3">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4</w:t>
            </w:r>
          </w:p>
        </w:tc>
        <w:tc>
          <w:tcPr>
            <w:tcW w:w="1383" w:type="dxa"/>
            <w:vAlign w:val="center"/>
          </w:tcPr>
          <w:p w14:paraId="2C6728CF">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外网物联网网闸</w:t>
            </w:r>
          </w:p>
        </w:tc>
        <w:tc>
          <w:tcPr>
            <w:tcW w:w="789" w:type="dxa"/>
            <w:vAlign w:val="center"/>
          </w:tcPr>
          <w:p w14:paraId="1537C616">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1台</w:t>
            </w:r>
          </w:p>
        </w:tc>
        <w:tc>
          <w:tcPr>
            <w:tcW w:w="5701" w:type="dxa"/>
          </w:tcPr>
          <w:p w14:paraId="3173651F">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吞吐量至少500Mbps，硬件规格不高于2U，系统延时小于1ms，最大并发连接数至少10万，采用“双主机+隔离卡”架构，单主机设备内存至少4G、硬盘至少8G、提供网络接口至少4个千兆电口，提供文件交换、数据库交换、视频交换和应用数据交换功能；</w:t>
            </w:r>
          </w:p>
          <w:p w14:paraId="7EFD8DD3">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支持文件交换，至少包括远程ftp、远程FTPS、远程SMB、远程NFS、远程sftp、本地ftp、本地sftp、本地TFTP、客户端方式；</w:t>
            </w:r>
          </w:p>
          <w:p w14:paraId="7BA8B8AE">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支持数据库交换，同步功能由网闸主动发起并完成，无需在数据库安装软件；</w:t>
            </w:r>
          </w:p>
          <w:p w14:paraId="6B9DDC07">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支持数据表智能匹配，可自动匹配表名、字段相同的数据表建立同步关系，满足大批量数据表同步场景下的快速配置需求；</w:t>
            </w:r>
          </w:p>
          <w:p w14:paraId="1255F020">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支持分解UPDATE同步，检测目标数据库无update数据主键则转换为insert操作进行同步，处理数据冲突，保证数据一致性；</w:t>
            </w:r>
          </w:p>
          <w:p w14:paraId="38C11FB5">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支持视频交换，至少支持RTSP_OVER_TCP,RTSP_OVER_UDP和GB/T-28181、GB/T-35114标准视频协议；</w:t>
            </w:r>
          </w:p>
          <w:p w14:paraId="226EC38B">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支持视频流插帧，可设置插帧频率，防止视频流中夹杂恶意代码；</w:t>
            </w:r>
          </w:p>
          <w:p w14:paraId="10FE1051">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支持应用数据交换，至少支持HTTP、FTP、SMTP、POP3、自定义TCP\UDP协议；</w:t>
            </w:r>
          </w:p>
          <w:p w14:paraId="517A11F3">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支持域名解析服务，可将指定域名解析到网闸接口IP实现基于域名的应用协议交换；</w:t>
            </w:r>
          </w:p>
          <w:p w14:paraId="7A1D76CA">
            <w:pPr>
              <w:numPr>
                <w:ilvl w:val="0"/>
                <w:numId w:val="9"/>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支持反向远程管理，系统本地管理服务主动注册到远程管理服务器，并将本地管理服务端口与远程管理服务端口绑定，实现远程管理服务器通过本地管理服务对系统进行反向远程管理；</w:t>
            </w:r>
          </w:p>
          <w:p w14:paraId="58A69588">
            <w:pPr>
              <w:numPr>
                <w:ilvl w:val="0"/>
                <w:numId w:val="9"/>
              </w:num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需提供至少5年硬件质保和软件升级升级服务；</w:t>
            </w:r>
          </w:p>
        </w:tc>
      </w:tr>
      <w:tr w14:paraId="463D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72E7073B">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5</w:t>
            </w:r>
          </w:p>
        </w:tc>
        <w:tc>
          <w:tcPr>
            <w:tcW w:w="1383" w:type="dxa"/>
            <w:vAlign w:val="center"/>
          </w:tcPr>
          <w:p w14:paraId="5CF126A0">
            <w:pPr>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rPr>
              <w:t>终端杀毒防护系统</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EDR</w:t>
            </w:r>
            <w:r>
              <w:rPr>
                <w:rFonts w:hint="eastAsia" w:ascii="仿宋_GB2312" w:hAnsi="仿宋_GB2312" w:eastAsia="仿宋_GB2312" w:cs="仿宋_GB2312"/>
                <w:sz w:val="21"/>
                <w:szCs w:val="21"/>
                <w:highlight w:val="none"/>
                <w:lang w:eastAsia="zh-CN"/>
              </w:rPr>
              <w:t>）</w:t>
            </w:r>
          </w:p>
        </w:tc>
        <w:tc>
          <w:tcPr>
            <w:tcW w:w="789" w:type="dxa"/>
            <w:vAlign w:val="center"/>
          </w:tcPr>
          <w:p w14:paraId="28053522">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1套</w:t>
            </w:r>
          </w:p>
        </w:tc>
        <w:tc>
          <w:tcPr>
            <w:tcW w:w="5701" w:type="dxa"/>
          </w:tcPr>
          <w:p w14:paraId="5C4971B4">
            <w:pPr>
              <w:numPr>
                <w:ilvl w:val="0"/>
                <w:numId w:val="10"/>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提供不低于1000台终端和300台服务器端提供终端安全防护授权，并与医院现有终端安全防护平台对接，可以统一管理，方便终端运维和安全风险定位分析。</w:t>
            </w:r>
          </w:p>
          <w:p w14:paraId="39F08C84">
            <w:pPr>
              <w:numPr>
                <w:ilvl w:val="0"/>
                <w:numId w:val="10"/>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需具备对Windows7、Windows10、Windows11操作系统以及Windows Server、Centos、Ubuntu操作系统以及统信、麒麟、欧拉、龙蜥等国产操作系统的兼容适配。</w:t>
            </w:r>
          </w:p>
          <w:p w14:paraId="14AFD021">
            <w:pPr>
              <w:numPr>
                <w:ilvl w:val="0"/>
                <w:numId w:val="10"/>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具备对终端全盘漏洞扫描、进程监控、勒索病毒查杀、恶意软件拦截、恶意网站拦截、下载保护、Webshell检测、密码脆弱性保护等安全监测。</w:t>
            </w:r>
          </w:p>
          <w:p w14:paraId="00F2ED22">
            <w:pPr>
              <w:numPr>
                <w:ilvl w:val="0"/>
                <w:numId w:val="10"/>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需提供针对终端的勒索病毒入侵风险排查，检查至少包含勒索高危利用漏洞、端口、安全策略、</w:t>
            </w:r>
            <w:r>
              <w:rPr>
                <w:rFonts w:hint="eastAsia" w:ascii="仿宋_GB2312" w:hAnsi="仿宋_GB2312" w:eastAsia="仿宋_GB2312" w:cs="仿宋_GB2312"/>
                <w:sz w:val="21"/>
                <w:szCs w:val="21"/>
                <w:highlight w:val="none"/>
                <w:lang w:val="en-US" w:eastAsia="zh-Hans"/>
              </w:rPr>
              <w:t>勒索</w:t>
            </w:r>
            <w:r>
              <w:rPr>
                <w:rFonts w:hint="eastAsia" w:ascii="仿宋_GB2312" w:hAnsi="仿宋_GB2312" w:eastAsia="仿宋_GB2312" w:cs="仿宋_GB2312"/>
                <w:sz w:val="21"/>
                <w:szCs w:val="21"/>
                <w:highlight w:val="none"/>
                <w:lang w:val="en-US" w:eastAsia="zh-CN"/>
              </w:rPr>
              <w:t>攻击行为。</w:t>
            </w:r>
          </w:p>
          <w:p w14:paraId="5CBE2423">
            <w:pPr>
              <w:numPr>
                <w:ilvl w:val="0"/>
                <w:numId w:val="10"/>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需针对可能出现的未知病毒或攻击行为能够利用AI技术进行终端异常行为实时监测和阻断。</w:t>
            </w:r>
          </w:p>
          <w:p w14:paraId="3A99224A">
            <w:pPr>
              <w:numPr>
                <w:ilvl w:val="0"/>
                <w:numId w:val="10"/>
              </w:numP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需提供至少5年软件升级和授权更新。</w:t>
            </w:r>
          </w:p>
        </w:tc>
      </w:tr>
      <w:tr w14:paraId="2ED8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0D2ED613">
            <w:pPr>
              <w:jc w:val="center"/>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6</w:t>
            </w:r>
          </w:p>
        </w:tc>
        <w:tc>
          <w:tcPr>
            <w:tcW w:w="1383" w:type="dxa"/>
            <w:vAlign w:val="center"/>
          </w:tcPr>
          <w:p w14:paraId="539B438D">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内网</w:t>
            </w:r>
            <w:r>
              <w:rPr>
                <w:rFonts w:hint="eastAsia" w:ascii="仿宋_GB2312" w:hAnsi="仿宋_GB2312" w:eastAsia="仿宋_GB2312" w:cs="仿宋_GB2312"/>
                <w:sz w:val="21"/>
                <w:szCs w:val="21"/>
                <w:highlight w:val="none"/>
                <w:lang w:val="en-US" w:eastAsia="zh-CN"/>
              </w:rPr>
              <w:t>终端</w:t>
            </w:r>
            <w:r>
              <w:rPr>
                <w:rFonts w:hint="eastAsia" w:ascii="仿宋_GB2312" w:hAnsi="仿宋_GB2312" w:eastAsia="仿宋_GB2312" w:cs="仿宋_GB2312"/>
                <w:sz w:val="21"/>
                <w:szCs w:val="21"/>
                <w:highlight w:val="none"/>
              </w:rPr>
              <w:t>准入设备</w:t>
            </w:r>
          </w:p>
        </w:tc>
        <w:tc>
          <w:tcPr>
            <w:tcW w:w="789" w:type="dxa"/>
            <w:vAlign w:val="center"/>
          </w:tcPr>
          <w:p w14:paraId="4E2A82D2">
            <w:pPr>
              <w:jc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rPr>
              <w:t>2</w:t>
            </w:r>
            <w:r>
              <w:rPr>
                <w:rFonts w:hint="eastAsia" w:ascii="仿宋_GB2312" w:hAnsi="仿宋_GB2312" w:eastAsia="仿宋_GB2312" w:cs="仿宋_GB2312"/>
                <w:sz w:val="21"/>
                <w:szCs w:val="21"/>
                <w:highlight w:val="none"/>
                <w:lang w:val="en-US" w:eastAsia="zh-CN"/>
              </w:rPr>
              <w:t>台</w:t>
            </w:r>
          </w:p>
        </w:tc>
        <w:tc>
          <w:tcPr>
            <w:tcW w:w="5701" w:type="dxa"/>
          </w:tcPr>
          <w:p w14:paraId="1BB2E283">
            <w:pPr>
              <w:numPr>
                <w:ilvl w:val="0"/>
                <w:numId w:val="11"/>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需满足设备网络层吞吐量不少于20Gbps，带宽不少于5G，用户接入数不少于50000，提供至少3000点终端并发接入授权，内存不少于24G，硬盘不少于960GB SSD，提供至少4个千兆电口+2个万兆光口SFP+，日志存储不少于6个月。</w:t>
            </w:r>
          </w:p>
          <w:p w14:paraId="09D4CEE5">
            <w:pPr>
              <w:numPr>
                <w:ilvl w:val="0"/>
                <w:numId w:val="11"/>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设备需内置包括URL分类库、应用特征库，可识别并阻断恶意网站、钓鱼页面、非法应用。</w:t>
            </w:r>
          </w:p>
          <w:p w14:paraId="33E4CAD7">
            <w:pPr>
              <w:numPr>
                <w:ilvl w:val="0"/>
                <w:numId w:val="11"/>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需具备账号密码认证、IP/MAC认证、短信认证、802.1X认证和Portal认证客户端等多种认证方式进行终端准入管控。</w:t>
            </w:r>
          </w:p>
          <w:p w14:paraId="0D21C63F">
            <w:pPr>
              <w:numPr>
                <w:ilvl w:val="0"/>
                <w:numId w:val="11"/>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需满足对访问流量管理、带宽动态分配和应用黑白名单配置能力。</w:t>
            </w:r>
          </w:p>
          <w:p w14:paraId="4209F0DF">
            <w:pPr>
              <w:numPr>
                <w:ilvl w:val="0"/>
                <w:numId w:val="11"/>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需具备非法外联检查、外设管控、U盘管控和审计、端口管控、应用联网管控、软件安装检查等功能。</w:t>
            </w:r>
          </w:p>
          <w:p w14:paraId="0FC28A33">
            <w:pPr>
              <w:numPr>
                <w:ilvl w:val="0"/>
                <w:numId w:val="11"/>
              </w:num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需具备导出合规审计报告，满足医疗行业访问行为管控要求。</w:t>
            </w:r>
          </w:p>
          <w:p w14:paraId="2A0A0604">
            <w:pPr>
              <w:numPr>
                <w:ilvl w:val="0"/>
                <w:numId w:val="11"/>
              </w:numPr>
              <w:rPr>
                <w:rFonts w:hint="eastAsia" w:ascii="仿宋_GB2312" w:hAnsi="仿宋_GB2312" w:eastAsia="仿宋_GB2312" w:cs="仿宋_GB2312"/>
                <w:sz w:val="21"/>
                <w:szCs w:val="21"/>
                <w:highlight w:val="none"/>
                <w:vertAlign w:val="baseline"/>
              </w:rPr>
            </w:pPr>
            <w:r>
              <w:rPr>
                <w:rFonts w:hint="eastAsia" w:ascii="仿宋_GB2312" w:hAnsi="仿宋_GB2312" w:eastAsia="仿宋_GB2312" w:cs="仿宋_GB2312"/>
                <w:sz w:val="21"/>
                <w:szCs w:val="21"/>
                <w:highlight w:val="none"/>
                <w:lang w:val="en-US" w:eastAsia="zh-CN"/>
              </w:rPr>
              <w:t>需提供至少5年硬件质保、软件升级和病毒规则库升级。</w:t>
            </w:r>
          </w:p>
        </w:tc>
      </w:tr>
    </w:tbl>
    <w:p w14:paraId="10BB9C0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3</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.数据安全与审计类设备</w:t>
      </w:r>
      <w:r>
        <w:rPr>
          <w:rFonts w:hint="eastAsia" w:ascii="仿宋_GB2312" w:hAnsi="仿宋_GB2312" w:eastAsia="仿宋_GB2312" w:cs="仿宋_GB2312"/>
          <w:sz w:val="21"/>
          <w:szCs w:val="21"/>
          <w:highlight w:val="none"/>
          <w:lang w:val="en-US" w:eastAsia="zh-CN"/>
        </w:rPr>
        <w:t>采购需求</w:t>
      </w:r>
    </w:p>
    <w:tbl>
      <w:tblPr>
        <w:tblStyle w:val="3"/>
        <w:tblW w:w="89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1378"/>
        <w:gridCol w:w="806"/>
        <w:gridCol w:w="6171"/>
      </w:tblGrid>
      <w:tr w14:paraId="5803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38C9BDA4">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78" w:type="dxa"/>
            <w:vAlign w:val="center"/>
          </w:tcPr>
          <w:p w14:paraId="1068520E">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06" w:type="dxa"/>
            <w:vAlign w:val="center"/>
          </w:tcPr>
          <w:p w14:paraId="36348FA2">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6171" w:type="dxa"/>
            <w:vAlign w:val="center"/>
          </w:tcPr>
          <w:p w14:paraId="1D1083DF">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0B00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61ED5B5D">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78" w:type="dxa"/>
            <w:vAlign w:val="center"/>
          </w:tcPr>
          <w:p w14:paraId="52475F8F">
            <w:p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color w:val="auto"/>
                <w:sz w:val="21"/>
                <w:szCs w:val="21"/>
                <w:highlight w:val="none"/>
                <w:shd w:val="clear"/>
                <w:lang w:val="en-US" w:eastAsia="zh-CN"/>
              </w:rPr>
              <w:t>堡垒机设备</w:t>
            </w:r>
          </w:p>
        </w:tc>
        <w:tc>
          <w:tcPr>
            <w:tcW w:w="806" w:type="dxa"/>
            <w:vAlign w:val="center"/>
          </w:tcPr>
          <w:p w14:paraId="552B6626">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1</w:t>
            </w:r>
            <w:r>
              <w:rPr>
                <w:rFonts w:hint="eastAsia" w:ascii="仿宋_GB2312" w:hAnsi="仿宋_GB2312" w:eastAsia="仿宋_GB2312" w:cs="仿宋_GB2312"/>
                <w:sz w:val="21"/>
                <w:szCs w:val="21"/>
                <w:highlight w:val="none"/>
              </w:rPr>
              <w:t>台</w:t>
            </w:r>
          </w:p>
        </w:tc>
        <w:tc>
          <w:tcPr>
            <w:tcW w:w="6171" w:type="dxa"/>
          </w:tcPr>
          <w:p w14:paraId="1B5FEAB0">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提供至少500个运维授权，硬件规格不高于2U，内存至少8G，硬盘至少4T，提供网络接口至少6个千兆电口和4个千兆光口，至少双电源；</w:t>
            </w:r>
          </w:p>
          <w:p w14:paraId="2F4BB6C0">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支持对运维用户实施访问控制，访问控制的条件至少包括运维用户、源地址、运维对象及其账户、管理方式、操作命令和操作时间；</w:t>
            </w:r>
          </w:p>
          <w:p w14:paraId="2A0D1A93">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需具备多种认证方式，至少包括静态口令认证、手机动态口令认证、Usbkey认证、短信认证、AD域/LADP认证等多种用户登录认证方式；</w:t>
            </w:r>
          </w:p>
          <w:p w14:paraId="2C11B0BE">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支持对运维用户的操作进行审计，生成审计记录，至少包括操作时间、运维用户、源地址、运维对象、管理方式、操作内容和操作结果；</w:t>
            </w:r>
          </w:p>
          <w:p w14:paraId="4679FB2C">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支持仅允许授权管理员查阅审计记录，支持条件查询并以通用格式导出，查询条件至少包括操作时间、运维用户、源地址、运维对象、操作命令；</w:t>
            </w:r>
          </w:p>
          <w:p w14:paraId="6170AC49">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支持对访问对象会话过程的图形化实时监视功能；</w:t>
            </w:r>
          </w:p>
          <w:p w14:paraId="6378038C">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支持会话回放功能，至少包括对访问运维对象会话过程的回放和按操作命令或时间进行定位回放；</w:t>
            </w:r>
          </w:p>
          <w:p w14:paraId="06C6173E">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支持依据告警策略对运维用户的违规操作进行告警，告警信息至少包括操作时间、运维用户、源地址、运维对象、管理方式、事件描述和触发的策略；</w:t>
            </w:r>
          </w:p>
          <w:p w14:paraId="45DE19D0">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违规操作阻断：支持依据安全策略，自动阻断违规操作，确保运维用户访问过程的合规性；</w:t>
            </w:r>
          </w:p>
          <w:p w14:paraId="11B96A6B">
            <w:pPr>
              <w:widowControl w:val="0"/>
              <w:numPr>
                <w:ilvl w:val="0"/>
                <w:numId w:val="12"/>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需对审计日志至少留存至少6个月；</w:t>
            </w:r>
          </w:p>
          <w:p w14:paraId="7FEFCB6F">
            <w:pPr>
              <w:widowControl w:val="0"/>
              <w:numPr>
                <w:ilvl w:val="0"/>
                <w:numId w:val="12"/>
              </w:numPr>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需提供至少5年硬件质保和软件升级服务；</w:t>
            </w:r>
          </w:p>
        </w:tc>
      </w:tr>
      <w:tr w14:paraId="6CA8D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4E608ACE">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2</w:t>
            </w:r>
          </w:p>
        </w:tc>
        <w:tc>
          <w:tcPr>
            <w:tcW w:w="1378" w:type="dxa"/>
            <w:vAlign w:val="center"/>
          </w:tcPr>
          <w:p w14:paraId="73A09180">
            <w:p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color w:val="auto"/>
                <w:sz w:val="21"/>
                <w:szCs w:val="21"/>
                <w:highlight w:val="none"/>
                <w:shd w:val="clear"/>
                <w:lang w:val="en-US" w:eastAsia="zh-CN"/>
              </w:rPr>
              <w:t>数据库审计设备</w:t>
            </w:r>
          </w:p>
        </w:tc>
        <w:tc>
          <w:tcPr>
            <w:tcW w:w="806" w:type="dxa"/>
            <w:vAlign w:val="center"/>
          </w:tcPr>
          <w:p w14:paraId="04B00E0D">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1台</w:t>
            </w:r>
          </w:p>
        </w:tc>
        <w:tc>
          <w:tcPr>
            <w:tcW w:w="6171" w:type="dxa"/>
          </w:tcPr>
          <w:p w14:paraId="4CA8316C">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设备吞吐量至少4Gbps，双向审计数据库流量至少400Mbps，提供无限制数据库实例授权，SQL处理性能至少60000条/秒，日志检索性能至少1500万条/秒，提供网络接口至少4个千兆电口和4个千兆光口，至少双电源；</w:t>
            </w:r>
          </w:p>
          <w:p w14:paraId="2FB2DADC">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能够满足支持旁路、软件代理部署模式；</w:t>
            </w:r>
          </w:p>
          <w:p w14:paraId="001383B1">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支持对数据库事件进行审计，内容至少包括数据库用户操作、数据库数据操作、数据库结构操作；</w:t>
            </w:r>
          </w:p>
          <w:p w14:paraId="0C436327">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内置规则≥900条，规则类型至少包括sql注入、账号安全、数据泄露和违规操作，并可根据规则进行告警，告警方式至少包括邮件、钉钉、企业微信、短信、syslog、snmp；</w:t>
            </w:r>
          </w:p>
          <w:p w14:paraId="2AF58C83">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支持数据库审计记录生成功能，记录内容至少包括时间、客户端标识、客户端IP地址、用户名、数据库标识、数据库类型、数据库端口、操作命令、操作结果、操作返回内容；</w:t>
            </w:r>
          </w:p>
          <w:p w14:paraId="2468B06B">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支持根据至少包括客户端工具名、数据库用户名、客户端IP、操作系统用户名、客户端主机名、数据库名、操作类型、服务器IP配置行为模型，并可查看相应告警日志；</w:t>
            </w:r>
          </w:p>
          <w:p w14:paraId="5D0C5334">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支持关联分析功能，至少包括对相同事件发生的次数或频率达到一定阈值进行关联分析和对相互关联的不同事件进行关联分析；</w:t>
            </w:r>
          </w:p>
          <w:p w14:paraId="24106B3E">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提供单独的性能分析页面，展示性能主要指标（至少包括整体平均耗时、高峰时平均耗时、低谷时平均耗时、最大单次执行时长、慢SQL数量与占比、慢SQL操作类型），支持以时间维度展示平均耗时趋势，且可与历史情况对比；</w:t>
            </w:r>
          </w:p>
          <w:p w14:paraId="3AD19EFE">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支持安全规则遍历匹配，针对某个操作，将全部安全规则进行匹配，并返回所有匹配的告警结果；</w:t>
            </w:r>
          </w:p>
          <w:p w14:paraId="6583852F">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支持告警功能，至少包括能够自定义告警事件、能够将高频发生的相同事件合并告警、记录告警事件；</w:t>
            </w:r>
          </w:p>
          <w:p w14:paraId="7D0D28DF">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支持通过标准接口或协议将审计数据外发至其他安全产品或系统进行进一步分析处理；</w:t>
            </w:r>
          </w:p>
          <w:p w14:paraId="5630B17D">
            <w:pPr>
              <w:widowControl w:val="0"/>
              <w:numPr>
                <w:ilvl w:val="0"/>
                <w:numId w:val="13"/>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需提供至少5年硬件质保和软件升级服务；</w:t>
            </w:r>
          </w:p>
        </w:tc>
      </w:tr>
      <w:tr w14:paraId="4BDB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1C1051BA">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3</w:t>
            </w:r>
          </w:p>
        </w:tc>
        <w:tc>
          <w:tcPr>
            <w:tcW w:w="1378" w:type="dxa"/>
            <w:vAlign w:val="center"/>
          </w:tcPr>
          <w:p w14:paraId="73E2EAC9">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数据库防火墙</w:t>
            </w:r>
          </w:p>
        </w:tc>
        <w:tc>
          <w:tcPr>
            <w:tcW w:w="806" w:type="dxa"/>
            <w:vAlign w:val="center"/>
          </w:tcPr>
          <w:p w14:paraId="4FF90F10">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1台</w:t>
            </w:r>
          </w:p>
        </w:tc>
        <w:tc>
          <w:tcPr>
            <w:tcW w:w="6171" w:type="dxa"/>
          </w:tcPr>
          <w:p w14:paraId="2A9E44AA">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设备并发数据库流量至少500Mbps，峰值处理能力至少40000QPS，内存至少32G，硬盘至少4T，提供网络接口至少4个千兆电口和4个千兆光口，网络接口扩展槽至少3个，至少双电源；</w:t>
            </w:r>
          </w:p>
          <w:p w14:paraId="23DFC644">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至少支持透明串接、反向代理、策略路由、旁路阻断部署模式；</w:t>
            </w:r>
          </w:p>
          <w:p w14:paraId="105B5D13">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支持新建数据源扫描任务自动发现数据源，并可以定时扫描；</w:t>
            </w:r>
          </w:p>
          <w:p w14:paraId="3E91D52F">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支持敏感表访问分析，对用户对敏感表的访问模型分析，可建立敏感数据访问模型；</w:t>
            </w:r>
          </w:p>
          <w:p w14:paraId="39085968">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支持自定义规则，配置项至少包括账号、数据库名、客户端工具、操作系统用户名、客户端IP、操作类型、SQL关键字；</w:t>
            </w:r>
          </w:p>
          <w:p w14:paraId="538FFFB3">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支持基于一定时间范围内基于同一会话、同一客户端IP、同一数据库账号、同一客户端工具维度对数据库访问频次及返回行数的限制；</w:t>
            </w:r>
          </w:p>
          <w:p w14:paraId="6E352AAB">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支持数据库防护虚拟补丁技术，防护未升级数据库，并可以更新维护；</w:t>
            </w:r>
          </w:p>
          <w:p w14:paraId="4708F536">
            <w:pPr>
              <w:widowControl w:val="0"/>
              <w:numPr>
                <w:ilvl w:val="0"/>
                <w:numId w:val="14"/>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需提供至少5年硬件质保和软件升级服务；</w:t>
            </w:r>
          </w:p>
        </w:tc>
      </w:tr>
      <w:tr w14:paraId="7C7B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321F1ACF">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4</w:t>
            </w:r>
          </w:p>
        </w:tc>
        <w:tc>
          <w:tcPr>
            <w:tcW w:w="1378" w:type="dxa"/>
            <w:vAlign w:val="center"/>
          </w:tcPr>
          <w:p w14:paraId="131BA025">
            <w:pP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零信任授权采购</w:t>
            </w:r>
          </w:p>
        </w:tc>
        <w:tc>
          <w:tcPr>
            <w:tcW w:w="806" w:type="dxa"/>
            <w:vAlign w:val="center"/>
          </w:tcPr>
          <w:p w14:paraId="61D254C4">
            <w:pPr>
              <w:jc w:val="center"/>
              <w:rPr>
                <w:rFonts w:hint="default" w:ascii="仿宋_GB2312" w:hAnsi="仿宋_GB2312" w:eastAsia="仿宋_GB2312" w:cs="仿宋_GB2312"/>
                <w:sz w:val="21"/>
                <w:szCs w:val="21"/>
                <w:highlight w:val="none"/>
                <w:lang w:val="en-US"/>
              </w:rPr>
            </w:pPr>
            <w:r>
              <w:rPr>
                <w:rFonts w:hint="eastAsia" w:ascii="仿宋_GB2312" w:hAnsi="仿宋_GB2312" w:eastAsia="仿宋_GB2312" w:cs="仿宋_GB2312"/>
                <w:sz w:val="21"/>
                <w:szCs w:val="21"/>
                <w:highlight w:val="none"/>
                <w:lang w:val="en-US" w:eastAsia="zh-CN"/>
              </w:rPr>
              <w:t>1套</w:t>
            </w:r>
          </w:p>
        </w:tc>
        <w:tc>
          <w:tcPr>
            <w:tcW w:w="6171" w:type="dxa"/>
          </w:tcPr>
          <w:p w14:paraId="79308E0C">
            <w:pPr>
              <w:widowControl w:val="0"/>
              <w:numPr>
                <w:ilvl w:val="0"/>
                <w:numId w:val="15"/>
              </w:numPr>
              <w:jc w:val="both"/>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提供至少200点零信任并发授权。</w:t>
            </w:r>
          </w:p>
          <w:p w14:paraId="53914EC7">
            <w:pPr>
              <w:widowControl w:val="0"/>
              <w:numPr>
                <w:ilvl w:val="0"/>
                <w:numId w:val="15"/>
              </w:numPr>
              <w:jc w:val="both"/>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支持多因素认证（账号密码 + 短信验证 / 动态令牌），基于“身份 + 设备状态 + 环境风险” 动态授权。</w:t>
            </w:r>
          </w:p>
          <w:p w14:paraId="1E12779F">
            <w:pPr>
              <w:widowControl w:val="0"/>
              <w:numPr>
                <w:ilvl w:val="0"/>
                <w:numId w:val="15"/>
              </w:numPr>
              <w:ind w:left="0" w:leftChars="0" w:firstLine="0" w:firstLineChars="0"/>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需与堡垒机进行对接，实现统一身份认证和细粒度权限管控。</w:t>
            </w:r>
          </w:p>
          <w:p w14:paraId="154574C7">
            <w:pPr>
              <w:widowControl w:val="0"/>
              <w:numPr>
                <w:ilvl w:val="0"/>
                <w:numId w:val="15"/>
              </w:numPr>
              <w:ind w:left="0" w:leftChars="0" w:firstLine="0" w:firstLineChars="0"/>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支持零信任访问日志审计，满足合规要求。</w:t>
            </w:r>
          </w:p>
          <w:p w14:paraId="63828BCA">
            <w:pPr>
              <w:widowControl w:val="0"/>
              <w:numPr>
                <w:ilvl w:val="0"/>
                <w:numId w:val="0"/>
              </w:numPr>
              <w:ind w:leftChars="0"/>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5、提供至少5年软件升级服务。</w:t>
            </w:r>
          </w:p>
        </w:tc>
      </w:tr>
    </w:tbl>
    <w:p w14:paraId="657C8F2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4</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lang w:val="en-US" w:eastAsia="zh-CN"/>
        </w:rPr>
        <w:t>流量监测类设备采购需求</w:t>
      </w:r>
    </w:p>
    <w:tbl>
      <w:tblPr>
        <w:tblStyle w:val="3"/>
        <w:tblW w:w="89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367"/>
        <w:gridCol w:w="811"/>
        <w:gridCol w:w="6152"/>
      </w:tblGrid>
      <w:tr w14:paraId="1E8D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73B89B3E">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67" w:type="dxa"/>
            <w:vAlign w:val="center"/>
          </w:tcPr>
          <w:p w14:paraId="0F00D1E4">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11" w:type="dxa"/>
            <w:vAlign w:val="center"/>
          </w:tcPr>
          <w:p w14:paraId="2C26657C">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6152" w:type="dxa"/>
            <w:vAlign w:val="center"/>
          </w:tcPr>
          <w:p w14:paraId="713E8DC2">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7A10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6EE0AC10">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67" w:type="dxa"/>
            <w:vAlign w:val="center"/>
          </w:tcPr>
          <w:p w14:paraId="7E059F0C">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外网流量监测探针</w:t>
            </w:r>
          </w:p>
        </w:tc>
        <w:tc>
          <w:tcPr>
            <w:tcW w:w="811" w:type="dxa"/>
            <w:vAlign w:val="center"/>
          </w:tcPr>
          <w:p w14:paraId="0BC3FDCF">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1</w:t>
            </w:r>
            <w:r>
              <w:rPr>
                <w:rFonts w:hint="eastAsia" w:ascii="仿宋_GB2312" w:hAnsi="仿宋_GB2312" w:eastAsia="仿宋_GB2312" w:cs="仿宋_GB2312"/>
                <w:sz w:val="21"/>
                <w:szCs w:val="21"/>
                <w:highlight w:val="none"/>
              </w:rPr>
              <w:t>台</w:t>
            </w:r>
          </w:p>
        </w:tc>
        <w:tc>
          <w:tcPr>
            <w:tcW w:w="6152" w:type="dxa"/>
          </w:tcPr>
          <w:p w14:paraId="1B232FD1">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1、需满足设备网络层吞吐量</w:t>
            </w:r>
            <w:r>
              <w:rPr>
                <w:rFonts w:hint="eastAsia" w:ascii="仿宋_GB2312" w:hAnsi="仿宋_GB2312" w:eastAsia="仿宋_GB2312" w:cs="仿宋_GB2312"/>
                <w:sz w:val="21"/>
                <w:szCs w:val="21"/>
                <w:highlight w:val="none"/>
                <w:lang w:val="en-US" w:eastAsia="zh-CN"/>
              </w:rPr>
              <w:t>不少于2</w:t>
            </w:r>
            <w:r>
              <w:rPr>
                <w:rFonts w:hint="eastAsia" w:ascii="仿宋_GB2312" w:hAnsi="仿宋_GB2312" w:eastAsia="仿宋_GB2312" w:cs="仿宋_GB2312"/>
                <w:sz w:val="21"/>
                <w:szCs w:val="21"/>
                <w:highlight w:val="none"/>
              </w:rPr>
              <w:t>G，设备规格</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2U，内存</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lang w:val="en-US" w:eastAsia="zh-CN"/>
              </w:rPr>
              <w:t>8</w:t>
            </w:r>
            <w:r>
              <w:rPr>
                <w:rFonts w:hint="eastAsia" w:ascii="仿宋_GB2312" w:hAnsi="仿宋_GB2312" w:eastAsia="仿宋_GB2312" w:cs="仿宋_GB2312"/>
                <w:sz w:val="21"/>
                <w:szCs w:val="21"/>
                <w:highlight w:val="none"/>
              </w:rPr>
              <w:t>G，硬盘</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lang w:val="en-US" w:eastAsia="zh-CN"/>
              </w:rPr>
              <w:t>480</w:t>
            </w:r>
            <w:r>
              <w:rPr>
                <w:rFonts w:hint="eastAsia" w:ascii="仿宋_GB2312" w:hAnsi="仿宋_GB2312" w:eastAsia="仿宋_GB2312" w:cs="仿宋_GB2312"/>
                <w:sz w:val="21"/>
                <w:szCs w:val="21"/>
                <w:highlight w:val="none"/>
              </w:rPr>
              <w:t>GB，接口</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lang w:val="en-US" w:eastAsia="zh-CN"/>
              </w:rPr>
              <w:t>8</w:t>
            </w:r>
            <w:r>
              <w:rPr>
                <w:rFonts w:hint="eastAsia" w:ascii="仿宋_GB2312" w:hAnsi="仿宋_GB2312" w:eastAsia="仿宋_GB2312" w:cs="仿宋_GB2312"/>
                <w:sz w:val="21"/>
                <w:szCs w:val="21"/>
                <w:highlight w:val="none"/>
              </w:rPr>
              <w:t>个千兆电口+</w:t>
            </w:r>
            <w:r>
              <w:rPr>
                <w:rFonts w:hint="eastAsia" w:ascii="仿宋_GB2312" w:hAnsi="仿宋_GB2312" w:eastAsia="仿宋_GB2312" w:cs="仿宋_GB2312"/>
                <w:sz w:val="21"/>
                <w:szCs w:val="21"/>
                <w:highlight w:val="none"/>
                <w:lang w:val="en-US" w:eastAsia="zh-CN"/>
              </w:rPr>
              <w:t>2</w:t>
            </w:r>
            <w:r>
              <w:rPr>
                <w:rFonts w:hint="eastAsia" w:ascii="仿宋_GB2312" w:hAnsi="仿宋_GB2312" w:eastAsia="仿宋_GB2312" w:cs="仿宋_GB2312"/>
                <w:sz w:val="21"/>
                <w:szCs w:val="21"/>
                <w:highlight w:val="none"/>
              </w:rPr>
              <w:t>个万兆光口SFP+；</w:t>
            </w:r>
          </w:p>
          <w:p w14:paraId="54815939">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2、具备</w:t>
            </w:r>
            <w:r>
              <w:rPr>
                <w:rFonts w:hint="eastAsia" w:ascii="仿宋_GB2312" w:hAnsi="仿宋_GB2312" w:eastAsia="仿宋_GB2312" w:cs="仿宋_GB2312"/>
                <w:sz w:val="21"/>
                <w:szCs w:val="21"/>
                <w:highlight w:val="none"/>
                <w:lang w:val="en-US" w:eastAsia="zh-CN"/>
              </w:rPr>
              <w:t>外</w:t>
            </w:r>
            <w:r>
              <w:rPr>
                <w:rFonts w:hint="eastAsia" w:ascii="仿宋_GB2312" w:hAnsi="仿宋_GB2312" w:eastAsia="仿宋_GB2312" w:cs="仿宋_GB2312"/>
                <w:sz w:val="21"/>
                <w:szCs w:val="21"/>
                <w:highlight w:val="none"/>
              </w:rPr>
              <w:t>网流量实时采集，根据协议、端口、IP地址等信息进行规则配置进行应用类型识别；</w:t>
            </w:r>
          </w:p>
          <w:p w14:paraId="78F8E2EB">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3、需具备</w:t>
            </w:r>
            <w:r>
              <w:rPr>
                <w:rFonts w:hint="eastAsia" w:ascii="仿宋_GB2312" w:hAnsi="仿宋_GB2312" w:eastAsia="仿宋_GB2312" w:cs="仿宋_GB2312"/>
                <w:sz w:val="21"/>
                <w:szCs w:val="21"/>
                <w:highlight w:val="none"/>
                <w:lang w:val="en-US" w:eastAsia="zh-CN"/>
              </w:rPr>
              <w:t>Web智能检测、网站攻击检测、</w:t>
            </w:r>
            <w:r>
              <w:rPr>
                <w:rFonts w:hint="eastAsia" w:ascii="仿宋_GB2312" w:hAnsi="仿宋_GB2312" w:eastAsia="仿宋_GB2312" w:cs="仿宋_GB2312"/>
                <w:sz w:val="21"/>
                <w:szCs w:val="21"/>
                <w:highlight w:val="none"/>
              </w:rPr>
              <w:t>弱口令检测、敏感信息检测、漏洞利用攻击检测、白流量过滤、僵尸网络行为检测能力；</w:t>
            </w:r>
          </w:p>
          <w:p w14:paraId="4EC36783">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4、具备对接三方安全分析平台能力，可基于API、kafka、syslog等接口及协议将内网采集全网流量上报至第三方安全分析平台；</w:t>
            </w:r>
          </w:p>
          <w:p w14:paraId="4D613BBB">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5、支持多格式日志解析包括Syslog、SNMP、API等，支持日志统一采集、存储时效</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6 个月；</w:t>
            </w:r>
          </w:p>
          <w:p w14:paraId="22BAE37A">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6、提供</w:t>
            </w:r>
            <w:r>
              <w:rPr>
                <w:rFonts w:hint="eastAsia" w:ascii="仿宋_GB2312" w:hAnsi="仿宋_GB2312" w:eastAsia="仿宋_GB2312" w:cs="仿宋_GB2312"/>
                <w:sz w:val="21"/>
                <w:szCs w:val="21"/>
                <w:highlight w:val="none"/>
                <w:lang w:eastAsia="zh-CN"/>
              </w:rPr>
              <w:t>至少5年硬件</w:t>
            </w:r>
            <w:r>
              <w:rPr>
                <w:rFonts w:hint="eastAsia" w:ascii="仿宋_GB2312" w:hAnsi="仿宋_GB2312" w:eastAsia="仿宋_GB2312" w:cs="仿宋_GB2312"/>
                <w:sz w:val="21"/>
                <w:szCs w:val="21"/>
                <w:highlight w:val="none"/>
              </w:rPr>
              <w:t>质保、软件升级和特征库升级服务。</w:t>
            </w:r>
          </w:p>
        </w:tc>
      </w:tr>
      <w:tr w14:paraId="4120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5A30D543">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2</w:t>
            </w:r>
          </w:p>
        </w:tc>
        <w:tc>
          <w:tcPr>
            <w:tcW w:w="1367" w:type="dxa"/>
            <w:vAlign w:val="center"/>
          </w:tcPr>
          <w:p w14:paraId="05DAA750">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内网流量监测探针</w:t>
            </w:r>
          </w:p>
        </w:tc>
        <w:tc>
          <w:tcPr>
            <w:tcW w:w="811" w:type="dxa"/>
            <w:vAlign w:val="center"/>
          </w:tcPr>
          <w:p w14:paraId="37F81B34">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1</w:t>
            </w:r>
            <w:r>
              <w:rPr>
                <w:rFonts w:hint="eastAsia" w:ascii="仿宋_GB2312" w:hAnsi="仿宋_GB2312" w:eastAsia="仿宋_GB2312" w:cs="仿宋_GB2312"/>
                <w:sz w:val="21"/>
                <w:szCs w:val="21"/>
                <w:highlight w:val="none"/>
              </w:rPr>
              <w:t>台</w:t>
            </w:r>
          </w:p>
        </w:tc>
        <w:tc>
          <w:tcPr>
            <w:tcW w:w="6152" w:type="dxa"/>
          </w:tcPr>
          <w:p w14:paraId="129CF4D4">
            <w:pPr>
              <w:rPr>
                <w:rFonts w:hint="default" w:ascii="仿宋_GB2312" w:hAnsi="仿宋_GB2312" w:eastAsia="仿宋_GB2312" w:cs="仿宋_GB2312"/>
                <w:sz w:val="21"/>
                <w:szCs w:val="21"/>
                <w:highlight w:val="none"/>
                <w:lang w:val="en-US" w:eastAsia="zh-CN"/>
              </w:rPr>
            </w:pPr>
            <w:bookmarkStart w:id="3" w:name="OLE_LINK7"/>
            <w:r>
              <w:rPr>
                <w:rFonts w:hint="eastAsia" w:ascii="仿宋_GB2312" w:hAnsi="仿宋_GB2312" w:eastAsia="仿宋_GB2312" w:cs="仿宋_GB2312"/>
                <w:sz w:val="21"/>
                <w:szCs w:val="21"/>
                <w:highlight w:val="none"/>
              </w:rPr>
              <w:t>1、需满足设备网络层吞吐量</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6G，设备规格</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2U，内存</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16G，硬盘</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960GB，接口</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10个千兆电口+6个万兆光口SFP+</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提供不少于2个扩展槽。</w:t>
            </w:r>
          </w:p>
          <w:p w14:paraId="679F044F">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2、具备内网流量实时采集，根据协议、端口、IP地址等信息进行规则配置进行应用类型识别；</w:t>
            </w:r>
          </w:p>
          <w:p w14:paraId="121568E7">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3、需具备弱口令检测、敏感信息检测、漏洞利用攻击检测、白流量过滤、僵尸网络行为检测能力；</w:t>
            </w:r>
          </w:p>
          <w:p w14:paraId="6D05A0CD">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4、具备对接三方安全分析平台能力，可基于API、kafka、syslog等接口及协议将内网采集全网流量上报至第三方安全分析平台；</w:t>
            </w:r>
          </w:p>
          <w:p w14:paraId="0F81A334">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5、支持多格式日志解析包括Syslog、SNMP、API等，支持日志统一采集、存储时效</w:t>
            </w:r>
            <w:r>
              <w:rPr>
                <w:rFonts w:hint="eastAsia" w:ascii="仿宋_GB2312" w:hAnsi="仿宋_GB2312" w:eastAsia="仿宋_GB2312" w:cs="仿宋_GB2312"/>
                <w:sz w:val="21"/>
                <w:szCs w:val="21"/>
                <w:highlight w:val="none"/>
                <w:lang w:eastAsia="zh-CN"/>
              </w:rPr>
              <w:t>至少</w:t>
            </w:r>
            <w:r>
              <w:rPr>
                <w:rFonts w:hint="eastAsia" w:ascii="仿宋_GB2312" w:hAnsi="仿宋_GB2312" w:eastAsia="仿宋_GB2312" w:cs="仿宋_GB2312"/>
                <w:sz w:val="21"/>
                <w:szCs w:val="21"/>
                <w:highlight w:val="none"/>
              </w:rPr>
              <w:t>6 个月；</w:t>
            </w:r>
          </w:p>
          <w:p w14:paraId="73438407">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6、提供</w:t>
            </w:r>
            <w:r>
              <w:rPr>
                <w:rFonts w:hint="eastAsia" w:ascii="仿宋_GB2312" w:hAnsi="仿宋_GB2312" w:eastAsia="仿宋_GB2312" w:cs="仿宋_GB2312"/>
                <w:sz w:val="21"/>
                <w:szCs w:val="21"/>
                <w:highlight w:val="none"/>
                <w:lang w:eastAsia="zh-CN"/>
              </w:rPr>
              <w:t>至少5年硬件</w:t>
            </w:r>
            <w:r>
              <w:rPr>
                <w:rFonts w:hint="eastAsia" w:ascii="仿宋_GB2312" w:hAnsi="仿宋_GB2312" w:eastAsia="仿宋_GB2312" w:cs="仿宋_GB2312"/>
                <w:sz w:val="21"/>
                <w:szCs w:val="21"/>
                <w:highlight w:val="none"/>
              </w:rPr>
              <w:t>质保、软件升级和特征库升级服务。</w:t>
            </w:r>
            <w:bookmarkEnd w:id="3"/>
          </w:p>
        </w:tc>
      </w:tr>
      <w:tr w14:paraId="17EA3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3F327007">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3</w:t>
            </w:r>
          </w:p>
        </w:tc>
        <w:tc>
          <w:tcPr>
            <w:tcW w:w="1367" w:type="dxa"/>
            <w:vAlign w:val="center"/>
          </w:tcPr>
          <w:p w14:paraId="542B6CFE">
            <w:pPr>
              <w:jc w:val="center"/>
              <w:rPr>
                <w:rFonts w:hint="default" w:ascii="仿宋_GB2312" w:hAnsi="仿宋_GB2312" w:eastAsia="仿宋_GB2312" w:cs="仿宋_GB2312"/>
                <w:sz w:val="21"/>
                <w:szCs w:val="21"/>
                <w:highlight w:val="none"/>
                <w:lang w:val="en-US" w:eastAsia="zh-CN"/>
              </w:rPr>
            </w:pPr>
            <w:r>
              <w:rPr>
                <w:rFonts w:hint="default" w:ascii="仿宋_GB2312" w:hAnsi="仿宋_GB2312" w:eastAsia="仿宋_GB2312" w:cs="仿宋_GB2312"/>
                <w:sz w:val="21"/>
                <w:szCs w:val="21"/>
                <w:highlight w:val="none"/>
                <w:lang w:val="en-US" w:eastAsia="zh-CN"/>
              </w:rPr>
              <w:t>TAP</w:t>
            </w:r>
            <w:r>
              <w:rPr>
                <w:rFonts w:hint="eastAsia" w:ascii="仿宋_GB2312" w:hAnsi="仿宋_GB2312" w:eastAsia="仿宋_GB2312" w:cs="仿宋_GB2312"/>
                <w:sz w:val="21"/>
                <w:szCs w:val="21"/>
                <w:highlight w:val="none"/>
                <w:lang w:val="en-US" w:eastAsia="zh-CN"/>
              </w:rPr>
              <w:t>交换机</w:t>
            </w:r>
          </w:p>
        </w:tc>
        <w:tc>
          <w:tcPr>
            <w:tcW w:w="811" w:type="dxa"/>
            <w:vAlign w:val="center"/>
          </w:tcPr>
          <w:p w14:paraId="2B714163">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1台</w:t>
            </w:r>
          </w:p>
        </w:tc>
        <w:tc>
          <w:tcPr>
            <w:tcW w:w="6152" w:type="dxa"/>
          </w:tcPr>
          <w:p w14:paraId="0634CBD0">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1、业务接口：</w:t>
            </w:r>
            <w:r>
              <w:rPr>
                <w:rFonts w:hint="eastAsia" w:ascii="仿宋_GB2312" w:hAnsi="仿宋_GB2312" w:eastAsia="仿宋_GB2312" w:cs="仿宋_GB2312"/>
                <w:sz w:val="21"/>
                <w:szCs w:val="21"/>
                <w:highlight w:val="none"/>
                <w:lang w:val="en-US" w:eastAsia="zh-CN"/>
              </w:rPr>
              <w:t>24</w:t>
            </w:r>
            <w:r>
              <w:rPr>
                <w:rFonts w:hint="eastAsia" w:ascii="仿宋_GB2312" w:hAnsi="仿宋_GB2312" w:eastAsia="仿宋_GB2312" w:cs="仿宋_GB2312"/>
                <w:sz w:val="21"/>
                <w:szCs w:val="21"/>
                <w:highlight w:val="none"/>
              </w:rPr>
              <w:t>个25G光，支持模块化可热插拔双电源；</w:t>
            </w:r>
          </w:p>
          <w:p w14:paraId="16754D2A">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2、交换容量4.8Tbps，包转发率2000Mpps</w:t>
            </w:r>
          </w:p>
          <w:p w14:paraId="01F71BDC">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3、支持流控功能；支持双光纤收发控制功能，可单独控制接口的收包和发包功能，且收发数据应互不影响；</w:t>
            </w:r>
          </w:p>
          <w:p w14:paraId="5322AE9B">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4、支持跨设备端口聚合；支持端口离开检测和端口数量调整，并能够自动调整负载分担算法参数；支持多种负载均衡方式，源目mac，五元组；</w:t>
            </w:r>
          </w:p>
          <w:p w14:paraId="3B9E050B">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5、支持识别链路层报文、VLAN报文、VXLAN报文、MPLS报文、GTP报文、IPv4/IPv6报文、TCP/UDP/SCTP报文、ICMP报文、IP层隧道报文、L2TP/PPTP隧道报文、IPsec隧道报文、GRE报文、BGP、OSPF和ISIS路由管理报文；</w:t>
            </w:r>
          </w:p>
          <w:p w14:paraId="7F5E90F7">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6、支持基于源目的MAC、基于VLAN tag、基于IP五元组的流分类等；支持IP/MAC分类规则的连续/非连续按位掩码匹配；</w:t>
            </w:r>
          </w:p>
          <w:p w14:paraId="326B28B4">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7、支持基本流量统计、流量复制、流量转发优先级、流量定位等；</w:t>
            </w:r>
          </w:p>
          <w:p w14:paraId="100ECE99">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8、支持多级别用户管理；支持SNMP、CLI、Web网管和网络管理中心统一管理等</w:t>
            </w:r>
          </w:p>
        </w:tc>
      </w:tr>
    </w:tbl>
    <w:p w14:paraId="3949DF7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5</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vertAlign w:val="baseline"/>
          <w:lang w:val="en-US" w:eastAsia="zh-CN"/>
        </w:rPr>
        <w:t>存储资源</w:t>
      </w:r>
      <w:r>
        <w:rPr>
          <w:rFonts w:hint="eastAsia" w:ascii="仿宋_GB2312" w:hAnsi="仿宋_GB2312" w:eastAsia="仿宋_GB2312" w:cs="仿宋_GB2312"/>
          <w:sz w:val="21"/>
          <w:szCs w:val="21"/>
          <w:highlight w:val="none"/>
          <w:lang w:val="en-US" w:eastAsia="zh-CN"/>
        </w:rPr>
        <w:t>类设备采购需求</w:t>
      </w:r>
    </w:p>
    <w:tbl>
      <w:tblPr>
        <w:tblStyle w:val="3"/>
        <w:tblW w:w="85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367"/>
        <w:gridCol w:w="811"/>
        <w:gridCol w:w="5702"/>
      </w:tblGrid>
      <w:tr w14:paraId="046F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7A0A75E7">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67" w:type="dxa"/>
            <w:vAlign w:val="center"/>
          </w:tcPr>
          <w:p w14:paraId="7AC0436C">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11" w:type="dxa"/>
            <w:vAlign w:val="center"/>
          </w:tcPr>
          <w:p w14:paraId="601D03EF">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5702" w:type="dxa"/>
            <w:vAlign w:val="center"/>
          </w:tcPr>
          <w:p w14:paraId="710768D4">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102D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6ABA4BFB">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67" w:type="dxa"/>
            <w:vAlign w:val="center"/>
          </w:tcPr>
          <w:p w14:paraId="27621534">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分布式存储资源池</w:t>
            </w:r>
          </w:p>
        </w:tc>
        <w:tc>
          <w:tcPr>
            <w:tcW w:w="811" w:type="dxa"/>
            <w:vAlign w:val="center"/>
          </w:tcPr>
          <w:p w14:paraId="359D5F74">
            <w:pPr>
              <w:jc w:val="center"/>
              <w:rPr>
                <w:rFonts w:hint="default" w:ascii="仿宋_GB2312" w:hAnsi="仿宋_GB2312" w:eastAsia="仿宋_GB2312" w:cs="仿宋_GB2312"/>
                <w:sz w:val="21"/>
                <w:szCs w:val="21"/>
                <w:highlight w:val="none"/>
                <w:lang w:val="en-US"/>
              </w:rPr>
            </w:pPr>
            <w:r>
              <w:rPr>
                <w:rFonts w:hint="eastAsia" w:ascii="仿宋_GB2312" w:hAnsi="仿宋_GB2312" w:eastAsia="仿宋_GB2312" w:cs="仿宋_GB2312"/>
                <w:sz w:val="21"/>
                <w:szCs w:val="21"/>
                <w:highlight w:val="none"/>
                <w:lang w:val="en-US" w:eastAsia="zh-CN"/>
              </w:rPr>
              <w:t>1套</w:t>
            </w:r>
          </w:p>
        </w:tc>
        <w:tc>
          <w:tcPr>
            <w:tcW w:w="5702" w:type="dxa"/>
          </w:tcPr>
          <w:p w14:paraId="2155CA8A">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一、总体架构要求</w:t>
            </w:r>
          </w:p>
          <w:p w14:paraId="7F590221">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采用分布式存储架构，支持智能负载均衡与在线扩容。可通过在线增加存储节点实现集群规模扩展，过程中系统不停机、业务流量不中断。</w:t>
            </w:r>
          </w:p>
          <w:p w14:paraId="6A7F0473">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配置可用裸容量不低于 1728TB 的分布式存储系统容量许可，请说明贵方推荐的具体配置型号及许可方式。</w:t>
            </w:r>
          </w:p>
          <w:p w14:paraId="1DC81451">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二、存储节点配置</w:t>
            </w:r>
          </w:p>
          <w:p w14:paraId="1DACF223">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系统配置不少于 3个 分布式存储节点，单节点最低配置要求：</w:t>
            </w:r>
          </w:p>
          <w:p w14:paraId="11814CAA">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缓存：≥192GB</w:t>
            </w:r>
          </w:p>
          <w:p w14:paraId="38C48262">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CPU：≥2颗，单颗主频≥2.6GHz，单颗物理内核≥24核；采用的CPU须符合中国信息安全测评中心和国家保密科技测评中心的安全可靠测评要求（请提供CPU型号及是否已通过测评的说明）</w:t>
            </w:r>
          </w:p>
          <w:p w14:paraId="10018F15">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网络接口：≥4个10G光口（含多模模块），≥4个千兆电口</w:t>
            </w:r>
          </w:p>
          <w:p w14:paraId="74D49F5E">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磁盘配置：≥2块480GB SSD系统盘，≥2块3.84TB NVMe SSD，≥36块 16TB 3.5寸 7.2K企业级磁盘（请注明是否全部为企业级SATA/SAS，以及转速）</w:t>
            </w:r>
          </w:p>
          <w:p w14:paraId="7C75533C">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电源：冗余电源</w:t>
            </w:r>
          </w:p>
          <w:p w14:paraId="66E05AD5">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请提供单节点的详细硬件配置清单。</w:t>
            </w:r>
          </w:p>
          <w:p w14:paraId="6E5E4ACD">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三、数据保护与冗余</w:t>
            </w:r>
          </w:p>
          <w:p w14:paraId="452562F3">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 N+1/2/3/4/5/6 纠删保护技术，要求在6个节点或6块硬盘同时故障的情况下，数据不丢失、业务不中断。请确认是否满足，并可提供具备CNAS/CMA资质的第三方检测报告。</w:t>
            </w:r>
          </w:p>
          <w:p w14:paraId="5E149F48">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支持在线修改EC策略及在线修改副本数；修改后，集群可靠性（支持的硬盘及节点故障数量）相比原策略可提升5倍。</w:t>
            </w:r>
          </w:p>
          <w:p w14:paraId="034C0867">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四、对象存储核心功能</w:t>
            </w:r>
          </w:p>
          <w:p w14:paraId="264DD936">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小文件优化：支持自定义小文件大小（如4KB、16KB、32KB、64KB、128KB、256KB），能自动识别客户端文件大小，大文件直接写入由EC保护的HDD数据池，小文件优先写入多副本保护的SSD缓存池，并根据水位线动态下刷至HDD，以提升小文件存储效率。需提供第三方检测报告证明。</w:t>
            </w:r>
          </w:p>
          <w:p w14:paraId="2678EC65">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多版本：支持对象多版本，可同时列出当前版本和历史版本，并支持对 txt、pdf、图片、MP3、MP4 等常见文件的历史版本进行在线预览、检索、下载、分享链接及修改元数据（请提供检测报告）。</w:t>
            </w:r>
          </w:p>
          <w:p w14:paraId="0388BC77">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桶回收站：支持桶级回收站，删除的数据可进入回收站目录，支持恢复或彻底删除。</w:t>
            </w:r>
          </w:p>
          <w:p w14:paraId="1B4C07E7">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桶加密：支持桶级别的加密功能，开启后桶内所有对象自动加密，确保数据机密性（请提供检测报告）。</w:t>
            </w:r>
          </w:p>
          <w:p w14:paraId="72DF4828">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WORM：支持基于文件、目录、对象桶的一次写入多次读取功能，保护期内只能读取，不可删除或覆盖，过期后可删除。</w:t>
            </w:r>
          </w:p>
          <w:p w14:paraId="4D164683">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性能QoS：支持针对桶的性能QoS管理，并可在线修改QoS的每秒请求数和带宽上限。</w:t>
            </w:r>
          </w:p>
          <w:p w14:paraId="623B05AB">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STS临时鉴权：支持安全令牌服务，可为第三方用户提供自定义时效和权限的临时访问凭证。</w:t>
            </w:r>
          </w:p>
          <w:p w14:paraId="35FB31B2">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五、数据迁移与生命周期管理</w:t>
            </w:r>
          </w:p>
          <w:p w14:paraId="6F533ABF">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临时URL批量处理：支持对包含相同前缀的临时URL进行批量操作并提供API，以应对大量文件/文件夹的并发上传下载场景（请提供检测报告）。</w:t>
            </w:r>
          </w:p>
          <w:p w14:paraId="2C22984D">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跨存储迁移：支持本地存储（Windows/Linux）与S3之间，以及S3与S3、OSS与S3、OSS与OSS之间的数据互迁移（请提供检测报告）。</w:t>
            </w:r>
          </w:p>
          <w:p w14:paraId="32075E43">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生命周期管理：支持桶级生命周期规则（可按过期天数、过期日期、自定义元数据迁移对象），规则可作用于整个桶或前缀匹配的文件，每个桶可设置不少于1000条规则，实现定时批量迁移（请提供检测报告）。</w:t>
            </w:r>
          </w:p>
          <w:p w14:paraId="72E8430A">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异构灾备：支持向第三方对象存储同步数据，即异构对象存储灾备。</w:t>
            </w:r>
          </w:p>
          <w:p w14:paraId="61B9CA96">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六、容灾与复制</w:t>
            </w:r>
          </w:p>
          <w:p w14:paraId="138A63B1">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支持三站点两地三中心部署：两个站点配置双活，第三站点配置复制，且两个双活站点均可向第三站点复制数据（请提供检测报告）。</w:t>
            </w:r>
          </w:p>
          <w:p w14:paraId="2B162EEC">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七、网络互联设备</w:t>
            </w:r>
          </w:p>
          <w:p w14:paraId="6A983800">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配套提供 2台 24端口10GE互联交换机，每台需配置不少于12个10GE多模光模块。请提供交换机型号及兼容性说明。</w:t>
            </w:r>
          </w:p>
          <w:p w14:paraId="260497C6">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八、维保与安装服务</w:t>
            </w:r>
          </w:p>
          <w:p w14:paraId="651C1335">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要求提供至少 5年原厂整体维保服务。</w:t>
            </w:r>
          </w:p>
          <w:p w14:paraId="305F3423">
            <w:pP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包含原厂安装部署服务。</w:t>
            </w:r>
          </w:p>
          <w:p w14:paraId="2A347B5C">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请说明维保的具体服务级别（如响应时间、备件更换等）和安装服务内容。</w:t>
            </w:r>
          </w:p>
        </w:tc>
      </w:tr>
    </w:tbl>
    <w:p w14:paraId="270D0E7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6</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w:t>
      </w:r>
      <w:r>
        <w:rPr>
          <w:rFonts w:hint="default" w:ascii="仿宋_GB2312" w:hAnsi="仿宋_GB2312" w:eastAsia="仿宋_GB2312" w:cs="仿宋_GB2312"/>
          <w:sz w:val="21"/>
          <w:szCs w:val="21"/>
          <w:highlight w:val="none"/>
          <w:vertAlign w:val="baseline"/>
          <w:lang w:val="en-US" w:eastAsia="zh-CN"/>
        </w:rPr>
        <w:t>安全运营</w:t>
      </w:r>
      <w:r>
        <w:rPr>
          <w:rFonts w:hint="eastAsia" w:ascii="仿宋_GB2312" w:hAnsi="仿宋_GB2312" w:eastAsia="仿宋_GB2312" w:cs="仿宋_GB2312"/>
          <w:sz w:val="21"/>
          <w:szCs w:val="21"/>
          <w:highlight w:val="none"/>
          <w:lang w:val="en-US" w:eastAsia="zh-CN"/>
        </w:rPr>
        <w:t>采购需求</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367"/>
        <w:gridCol w:w="811"/>
        <w:gridCol w:w="5690"/>
      </w:tblGrid>
      <w:tr w14:paraId="371D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27561946">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67" w:type="dxa"/>
            <w:vAlign w:val="center"/>
          </w:tcPr>
          <w:p w14:paraId="4BBD62CD">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11" w:type="dxa"/>
            <w:vAlign w:val="center"/>
          </w:tcPr>
          <w:p w14:paraId="002EC424">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5690" w:type="dxa"/>
            <w:vAlign w:val="center"/>
          </w:tcPr>
          <w:p w14:paraId="3E84D173">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129B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0F569DC5">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67" w:type="dxa"/>
            <w:vAlign w:val="center"/>
          </w:tcPr>
          <w:p w14:paraId="28A046CA">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安全运营监测平台</w:t>
            </w:r>
          </w:p>
        </w:tc>
        <w:tc>
          <w:tcPr>
            <w:tcW w:w="811" w:type="dxa"/>
            <w:vAlign w:val="center"/>
          </w:tcPr>
          <w:p w14:paraId="2254EDB5">
            <w:pPr>
              <w:jc w:val="center"/>
              <w:rPr>
                <w:rFonts w:hint="default" w:ascii="仿宋_GB2312" w:hAnsi="仿宋_GB2312" w:eastAsia="仿宋_GB2312" w:cs="仿宋_GB2312"/>
                <w:sz w:val="21"/>
                <w:szCs w:val="21"/>
                <w:highlight w:val="none"/>
                <w:lang w:val="en-US"/>
              </w:rPr>
            </w:pPr>
            <w:r>
              <w:rPr>
                <w:rFonts w:hint="eastAsia" w:ascii="仿宋_GB2312" w:hAnsi="仿宋_GB2312" w:eastAsia="仿宋_GB2312" w:cs="仿宋_GB2312"/>
                <w:sz w:val="21"/>
                <w:szCs w:val="21"/>
                <w:highlight w:val="none"/>
                <w:lang w:val="en-US" w:eastAsia="zh-CN"/>
              </w:rPr>
              <w:t>1项</w:t>
            </w:r>
          </w:p>
        </w:tc>
        <w:tc>
          <w:tcPr>
            <w:tcW w:w="5690" w:type="dxa"/>
            <w:vAlign w:val="top"/>
          </w:tcPr>
          <w:p w14:paraId="0F955D01">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本次安全运营监测平台要求软硬一体化平台设计，设备节点数不少于3节点，采用分布式集群架构本地化部署，单节点故障自动切换，会话与数据不丢失；具备承载医院全院区海量安全日志、终端行为数据以及内网流量数据的并发接入，实现医院多业务、大流量安全数据分析需求。</w:t>
            </w:r>
          </w:p>
          <w:p w14:paraId="0C405F18">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2、单节点配置要求，至少提供CPU≥1颗（单颗CPU≥16核，主频≥2</w:t>
            </w:r>
            <w:r>
              <w:rPr>
                <w:rFonts w:hint="default" w:ascii="仿宋_GB2312" w:hAnsi="仿宋_GB2312" w:eastAsia="仿宋_GB2312" w:cs="仿宋_GB2312"/>
                <w:sz w:val="21"/>
                <w:szCs w:val="21"/>
                <w:highlight w:val="none"/>
                <w:lang w:val="en-US" w:eastAsia="zh-CN"/>
              </w:rPr>
              <w:t>.4GHz</w:t>
            </w:r>
            <w:r>
              <w:rPr>
                <w:rFonts w:hint="eastAsia" w:ascii="仿宋_GB2312" w:hAnsi="仿宋_GB2312" w:eastAsia="仿宋_GB2312" w:cs="仿宋_GB2312"/>
                <w:sz w:val="21"/>
                <w:szCs w:val="21"/>
                <w:highlight w:val="none"/>
                <w:lang w:val="en-US" w:eastAsia="zh-CN"/>
              </w:rPr>
              <w:t>），内存≥256GB，系统盘≥480GB，数据盘总可用容量≥80TB，采用SATA/SAS硬盘，支持RAID冗余配置。支持冗余电源，接口≥4个千兆电口、≥2个万兆光口SFP+（含光模块），提供≥5年硬件质保、软件升级和规则库升级服务。</w:t>
            </w:r>
          </w:p>
          <w:p w14:paraId="0A7D74CD">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3、需具备对医院所有安全设备及本次采购安全设备（包括防火墙、WAF、探针、EDR、数据库审计等）进行设备对接，实现全日志与流量采集，提供日均处理日志量不少于5亿条，在日均处理日志量不少于5亿条的前提下，供应商需提供数据留存不少于1年的存储空间计算说明，并对存储容量进行承诺，若因存储容量不足导致数据提前覆盖，由供应商免费扩容。。</w:t>
            </w:r>
          </w:p>
          <w:p w14:paraId="4D26AB06">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4、需提供AI安全分析引擎（具备大语言模型或机器学习能力），支持通过自然语言对话进行交互，提供深度思考、安全事件智能解读、AI自动化响应处置、智能查询、智能自主研判、安全事件调查与发现等能力。</w:t>
            </w:r>
          </w:p>
          <w:p w14:paraId="630DEC58">
            <w:pPr>
              <w:widowControl w:val="0"/>
              <w:numPr>
                <w:ilvl w:val="0"/>
                <w:numId w:val="0"/>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5、平台需具备定期</w:t>
            </w:r>
            <w:r>
              <w:rPr>
                <w:rFonts w:hint="eastAsia" w:ascii="仿宋_GB2312" w:hAnsi="仿宋_GB2312" w:eastAsia="仿宋_GB2312" w:cs="仿宋_GB2312"/>
                <w:sz w:val="21"/>
                <w:szCs w:val="21"/>
                <w:highlight w:val="none"/>
              </w:rPr>
              <w:t>报表</w:t>
            </w:r>
            <w:r>
              <w:rPr>
                <w:rFonts w:hint="eastAsia" w:ascii="仿宋_GB2312" w:hAnsi="仿宋_GB2312" w:eastAsia="仿宋_GB2312" w:cs="仿宋_GB2312"/>
                <w:sz w:val="21"/>
                <w:szCs w:val="21"/>
                <w:highlight w:val="none"/>
                <w:lang w:val="en-US" w:eastAsia="zh-CN"/>
              </w:rPr>
              <w:t>汇总能力</w:t>
            </w:r>
            <w:r>
              <w:rPr>
                <w:rFonts w:hint="eastAsia"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lang w:val="en-US" w:eastAsia="zh-CN"/>
              </w:rPr>
              <w:t>针对医院整体安全运营情况可不定期收集安全运营详情数据报表与医院整体安全风险分析，可作为医院网络安全运营工作重要依据。</w:t>
            </w:r>
          </w:p>
          <w:p w14:paraId="679D1257">
            <w:pPr>
              <w:widowControl w:val="0"/>
              <w:numPr>
                <w:ilvl w:val="0"/>
                <w:numId w:val="0"/>
              </w:numPr>
              <w:jc w:val="both"/>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6、具备</w:t>
            </w:r>
            <w:r>
              <w:rPr>
                <w:rFonts w:hint="eastAsia" w:ascii="仿宋_GB2312" w:hAnsi="仿宋_GB2312" w:eastAsia="仿宋_GB2312" w:cs="仿宋_GB2312"/>
                <w:sz w:val="21"/>
                <w:szCs w:val="21"/>
                <w:highlight w:val="none"/>
              </w:rPr>
              <w:t>对医院网络侧和终端侧进行全量遥测数据采集，至少包含脆弱性风险、主机探测</w:t>
            </w:r>
            <w:r>
              <w:rPr>
                <w:rFonts w:hint="eastAsia" w:ascii="仿宋_GB2312" w:hAnsi="仿宋_GB2312" w:eastAsia="仿宋_GB2312" w:cs="仿宋_GB2312"/>
                <w:sz w:val="21"/>
                <w:szCs w:val="21"/>
                <w:highlight w:val="none"/>
                <w:lang w:val="en-US" w:eastAsia="zh-CN"/>
              </w:rPr>
              <w:t>风险</w:t>
            </w:r>
            <w:r>
              <w:rPr>
                <w:rFonts w:hint="eastAsia" w:ascii="仿宋_GB2312" w:hAnsi="仿宋_GB2312" w:eastAsia="仿宋_GB2312" w:cs="仿宋_GB2312"/>
                <w:sz w:val="21"/>
                <w:szCs w:val="21"/>
                <w:highlight w:val="none"/>
              </w:rPr>
              <w:t>、网站攻击、后门通信、账号爆破、邮件攻击、Dos攻击、黑链、漏洞攻击、黑客工具、访问恶意文件、行为异常、流量异常、登录异常、流量审计日志、端口监听、进程创建与销毁、文件创建与销毁、远程防控等</w:t>
            </w:r>
            <w:r>
              <w:rPr>
                <w:rFonts w:hint="eastAsia" w:ascii="仿宋_GB2312" w:hAnsi="仿宋_GB2312" w:eastAsia="仿宋_GB2312" w:cs="仿宋_GB2312"/>
                <w:sz w:val="21"/>
                <w:szCs w:val="21"/>
                <w:highlight w:val="none"/>
                <w:lang w:val="en-US" w:eastAsia="zh-CN"/>
              </w:rPr>
              <w:t>情况</w:t>
            </w:r>
            <w:r>
              <w:rPr>
                <w:rFonts w:hint="eastAsia" w:ascii="仿宋_GB2312" w:hAnsi="仿宋_GB2312" w:eastAsia="仿宋_GB2312" w:cs="仿宋_GB2312"/>
                <w:sz w:val="21"/>
                <w:szCs w:val="21"/>
                <w:highlight w:val="none"/>
              </w:rPr>
              <w:t>。</w:t>
            </w:r>
          </w:p>
          <w:p w14:paraId="36B1604D">
            <w:pPr>
              <w:widowControl w:val="0"/>
              <w:numPr>
                <w:ilvl w:val="0"/>
                <w:numId w:val="0"/>
              </w:numPr>
              <w:jc w:val="both"/>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7、平台AI分析引擎应具备对加密流量、未知恶意软件、APT攻击、0day漏洞利用、内网横向移动等高级威胁的检测能力。供应商需在投标时提供第三方权威机构的检测能力测评报告，并承诺在正式验收时，采用医院真实流量环境进行不少于7天的横向对比测试，检测效果应达到业内主流水平。</w:t>
            </w:r>
          </w:p>
          <w:p w14:paraId="16F26BA7">
            <w:pPr>
              <w:widowControl w:val="0"/>
              <w:numPr>
                <w:ilvl w:val="0"/>
                <w:numId w:val="0"/>
              </w:numPr>
              <w:jc w:val="both"/>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9、需具备支持资产台账管理能力（</w:t>
            </w:r>
            <w:r>
              <w:rPr>
                <w:rFonts w:hint="eastAsia" w:ascii="仿宋_GB2312" w:hAnsi="仿宋_GB2312" w:eastAsia="仿宋_GB2312" w:cs="仿宋_GB2312"/>
                <w:sz w:val="21"/>
                <w:szCs w:val="21"/>
                <w:highlight w:val="none"/>
              </w:rPr>
              <w:t>≥3000个</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支持对医院终端资产、服务器资产、安全设备资产、中间件资产、Web应用资产、业务系统资产、物联网设备、域名与网站资产等，能够通过自定义资产组、业务组和组织架构的方式按不同维度展示资产台账并进行出库入库统计，实现医院资产的统一管理。</w:t>
            </w:r>
          </w:p>
          <w:p w14:paraId="6B952280">
            <w:pPr>
              <w:widowControl w:val="0"/>
              <w:numPr>
                <w:ilvl w:val="0"/>
                <w:numId w:val="0"/>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10、支持通过AI模型对海量告警进行智能降噪与聚合分析，将原始告警压缩至人工可处理的数量级，结合攻击链关联分析，优先呈现高风险安全事件。</w:t>
            </w:r>
          </w:p>
          <w:p w14:paraId="0B9B1E48">
            <w:pPr>
              <w:widowControl w:val="0"/>
              <w:numPr>
                <w:ilvl w:val="0"/>
                <w:numId w:val="0"/>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11、需提供不少于20个安全事件响应剧本（如勒索病毒响应、Webshell处置、弱口令整改等），支持自定义编排，实现跨设备自动联动响应，缩短事件处置时间。</w:t>
            </w:r>
          </w:p>
          <w:p w14:paraId="22ABA64C">
            <w:pPr>
              <w:widowControl w:val="0"/>
              <w:numPr>
                <w:ilvl w:val="0"/>
                <w:numId w:val="0"/>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12、可通过平台在医院内部自主开展不定期的攻防演练、钓鱼攻击演练，查找医院存在网络安全问题进行整改，并通过演练提升内部人员安全防患意识。</w:t>
            </w:r>
          </w:p>
          <w:p w14:paraId="0BB78EB7">
            <w:pPr>
              <w:widowControl w:val="0"/>
              <w:numPr>
                <w:ilvl w:val="0"/>
                <w:numId w:val="0"/>
              </w:numPr>
              <w:jc w:val="both"/>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13、</w:t>
            </w:r>
            <w:r>
              <w:rPr>
                <w:rFonts w:hint="eastAsia" w:ascii="仿宋_GB2312" w:hAnsi="仿宋_GB2312" w:eastAsia="仿宋_GB2312" w:cs="仿宋_GB2312"/>
                <w:sz w:val="21"/>
                <w:szCs w:val="21"/>
                <w:highlight w:val="none"/>
              </w:rPr>
              <w:t>AI</w:t>
            </w:r>
            <w:r>
              <w:rPr>
                <w:rFonts w:hint="eastAsia" w:ascii="仿宋_GB2312" w:hAnsi="仿宋_GB2312" w:eastAsia="仿宋_GB2312" w:cs="仿宋_GB2312"/>
                <w:sz w:val="21"/>
                <w:szCs w:val="21"/>
                <w:highlight w:val="none"/>
                <w:lang w:val="en-US" w:eastAsia="zh-CN"/>
              </w:rPr>
              <w:t>安全大</w:t>
            </w:r>
            <w:r>
              <w:rPr>
                <w:rFonts w:hint="eastAsia" w:ascii="仿宋_GB2312" w:hAnsi="仿宋_GB2312" w:eastAsia="仿宋_GB2312" w:cs="仿宋_GB2312"/>
                <w:sz w:val="21"/>
                <w:szCs w:val="21"/>
                <w:highlight w:val="none"/>
              </w:rPr>
              <w:t>模型至少</w:t>
            </w:r>
            <w:r>
              <w:rPr>
                <w:rFonts w:hint="eastAsia" w:ascii="仿宋_GB2312" w:hAnsi="仿宋_GB2312" w:eastAsia="仿宋_GB2312" w:cs="仿宋_GB2312"/>
                <w:sz w:val="21"/>
                <w:szCs w:val="21"/>
                <w:highlight w:val="none"/>
                <w:lang w:val="en-US" w:eastAsia="zh-CN"/>
              </w:rPr>
              <w:t>具备</w:t>
            </w:r>
            <w:r>
              <w:rPr>
                <w:rFonts w:hint="eastAsia" w:ascii="仿宋_GB2312" w:hAnsi="仿宋_GB2312" w:eastAsia="仿宋_GB2312" w:cs="仿宋_GB2312"/>
                <w:sz w:val="21"/>
                <w:szCs w:val="21"/>
                <w:highlight w:val="none"/>
              </w:rPr>
              <w:t>ATT&amp;CK技术分析、威胁实体分析、资产分析、历史行为分析及告警分析等维度</w:t>
            </w:r>
            <w:r>
              <w:rPr>
                <w:rFonts w:hint="eastAsia" w:ascii="仿宋_GB2312" w:hAnsi="仿宋_GB2312" w:eastAsia="仿宋_GB2312" w:cs="仿宋_GB2312"/>
                <w:sz w:val="21"/>
                <w:szCs w:val="21"/>
                <w:highlight w:val="none"/>
                <w:lang w:val="en-US" w:eastAsia="zh-CN"/>
              </w:rPr>
              <w:t>的智能分析</w:t>
            </w:r>
            <w:r>
              <w:rPr>
                <w:rFonts w:hint="eastAsia" w:ascii="仿宋_GB2312" w:hAnsi="仿宋_GB2312" w:eastAsia="仿宋_GB2312" w:cs="仿宋_GB2312"/>
                <w:sz w:val="21"/>
                <w:szCs w:val="21"/>
                <w:highlight w:val="none"/>
              </w:rPr>
              <w:t>。</w:t>
            </w:r>
          </w:p>
          <w:p w14:paraId="003319A8">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14、平台需支持</w:t>
            </w:r>
            <w:r>
              <w:rPr>
                <w:rFonts w:hint="eastAsia" w:ascii="仿宋_GB2312" w:hAnsi="仿宋_GB2312" w:eastAsia="仿宋_GB2312" w:cs="仿宋_GB2312"/>
                <w:sz w:val="21"/>
                <w:szCs w:val="21"/>
                <w:highlight w:val="none"/>
              </w:rPr>
              <w:t>Syslog、Kafka、SNMP Trap、JDBC、FTP、SFTP、Winlogbeat/Filebeat接收安全设备、网络设备、操作系统、应用系统、中间件、服务等</w:t>
            </w:r>
            <w:r>
              <w:rPr>
                <w:rFonts w:hint="eastAsia" w:ascii="仿宋_GB2312" w:hAnsi="仿宋_GB2312" w:eastAsia="仿宋_GB2312" w:cs="仿宋_GB2312"/>
                <w:sz w:val="21"/>
                <w:szCs w:val="21"/>
                <w:highlight w:val="none"/>
                <w:lang w:val="en-US" w:eastAsia="zh-CN"/>
              </w:rPr>
              <w:t>设备</w:t>
            </w:r>
            <w:r>
              <w:rPr>
                <w:rFonts w:hint="eastAsia" w:ascii="仿宋_GB2312" w:hAnsi="仿宋_GB2312" w:eastAsia="仿宋_GB2312" w:cs="仿宋_GB2312"/>
                <w:sz w:val="21"/>
                <w:szCs w:val="21"/>
                <w:highlight w:val="none"/>
              </w:rPr>
              <w:t>日志并存储。</w:t>
            </w:r>
          </w:p>
        </w:tc>
      </w:tr>
    </w:tbl>
    <w:p w14:paraId="6D03E3C0">
      <w:pPr>
        <w:rPr>
          <w:rFonts w:hint="eastAsia" w:ascii="仿宋_GB2312" w:hAnsi="仿宋_GB2312" w:eastAsia="仿宋_GB2312" w:cs="仿宋_GB2312"/>
          <w:sz w:val="28"/>
          <w:szCs w:val="28"/>
          <w:highlight w:val="none"/>
        </w:rPr>
      </w:pPr>
    </w:p>
    <w:p w14:paraId="1846DF2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7</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.运维管理</w:t>
      </w:r>
      <w:r>
        <w:rPr>
          <w:rFonts w:hint="eastAsia" w:ascii="仿宋_GB2312" w:hAnsi="仿宋_GB2312" w:eastAsia="仿宋_GB2312" w:cs="仿宋_GB2312"/>
          <w:sz w:val="21"/>
          <w:szCs w:val="21"/>
          <w:highlight w:val="none"/>
          <w:lang w:val="en-US" w:eastAsia="zh-CN"/>
        </w:rPr>
        <w:t>采购需求</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367"/>
        <w:gridCol w:w="811"/>
        <w:gridCol w:w="5690"/>
      </w:tblGrid>
      <w:tr w14:paraId="2C65A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70BE18E6">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67" w:type="dxa"/>
            <w:vAlign w:val="center"/>
          </w:tcPr>
          <w:p w14:paraId="290B461C">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11" w:type="dxa"/>
            <w:vAlign w:val="center"/>
          </w:tcPr>
          <w:p w14:paraId="061A8667">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5690" w:type="dxa"/>
            <w:vAlign w:val="center"/>
          </w:tcPr>
          <w:p w14:paraId="5DAB1005">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7775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6FDC85BD">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67" w:type="dxa"/>
            <w:vAlign w:val="center"/>
          </w:tcPr>
          <w:p w14:paraId="1E2AD0A3">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信息运维管理平台</w:t>
            </w:r>
          </w:p>
        </w:tc>
        <w:tc>
          <w:tcPr>
            <w:tcW w:w="811" w:type="dxa"/>
            <w:vAlign w:val="center"/>
          </w:tcPr>
          <w:p w14:paraId="0C313251">
            <w:pPr>
              <w:jc w:val="center"/>
              <w:rPr>
                <w:rFonts w:hint="default" w:ascii="仿宋_GB2312" w:hAnsi="仿宋_GB2312" w:eastAsia="仿宋_GB2312" w:cs="仿宋_GB2312"/>
                <w:sz w:val="21"/>
                <w:szCs w:val="21"/>
                <w:highlight w:val="none"/>
                <w:lang w:val="en-US"/>
              </w:rPr>
            </w:pPr>
            <w:r>
              <w:rPr>
                <w:rFonts w:hint="eastAsia" w:ascii="仿宋_GB2312" w:hAnsi="仿宋_GB2312" w:eastAsia="仿宋_GB2312" w:cs="仿宋_GB2312"/>
                <w:sz w:val="21"/>
                <w:szCs w:val="21"/>
                <w:highlight w:val="none"/>
                <w:lang w:val="en-US" w:eastAsia="zh-CN"/>
              </w:rPr>
              <w:t>1套</w:t>
            </w:r>
          </w:p>
        </w:tc>
        <w:tc>
          <w:tcPr>
            <w:tcW w:w="5690" w:type="dxa"/>
          </w:tcPr>
          <w:p w14:paraId="451546AD">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1、平台需实现全类型 IT 基础设施统一纳管，覆盖范围包括 IP 终端、网络设备、安全设备、无线设备、服务器、存储设备等。</w:t>
            </w:r>
          </w:p>
          <w:p w14:paraId="5AD52EED">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2、采用无代理监控架构，基于 SNMP、Redfish、IPMI、SSH/Telnet、NetFlow 等标准接口实现数据采集，无需在被监控设备端部署任何代理程序。</w:t>
            </w:r>
          </w:p>
          <w:p w14:paraId="1B5D3968">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3、具备自动调度、负载均衡与按需弹性扩容能力，可根据业务负载动态调整资源。</w:t>
            </w:r>
          </w:p>
          <w:p w14:paraId="4C1059CE">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4、支持平台各功能模块独立部署与独立扩展，提供一键部署、在线升级能力，支持组件运行状态可视化展示。</w:t>
            </w:r>
          </w:p>
          <w:p w14:paraId="09D46BA6">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5、平台需具备全场景智能运维分析能力，包含但不限于以下功能：智能告警压缩与告警关联分析、故障自动定界与根因定位、运行风险预测与预警、配置合规性审查、自然语言智能问答、运维辅助决策支撑、自动巡检与脚本编排能力</w:t>
            </w:r>
          </w:p>
          <w:p w14:paraId="12EF1BCB">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6、提供多维度物理拓扑视图，覆盖地理层级、空间层级、机柜层级、U 位层级及设备物理位置展示，支持交互式图形化拖拽操作。</w:t>
            </w:r>
          </w:p>
          <w:p w14:paraId="1B894A2A">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7、支持 BMC 一键登录、远程电源批量管理与 KVM 带外控制功能，实现设备带外运维管理。</w:t>
            </w:r>
          </w:p>
          <w:p w14:paraId="21586AEA">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8、支持自动识别网络中的交换机、路由器等设备，自动绘制网络拓扑图。</w:t>
            </w:r>
          </w:p>
          <w:p w14:paraId="4FCDD856">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9、基于 SNMP 协议实现网络设备硬件状态监控，涵盖电源、CPU、内存、温度等指标；支持端口状态、端口流量、异常数据包监控。</w:t>
            </w:r>
          </w:p>
          <w:p w14:paraId="7DCD2A30">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10、支持动态配置探测失败次数阈值，有效降低监控误报与漏报概率。</w:t>
            </w:r>
          </w:p>
          <w:p w14:paraId="170C17BC">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11、支持三级能耗数据采集与可视化分析，具体包括：设备级：支持单设备实时功耗数据采集与展示；机柜级：支持机柜功耗明细、负载情况统计分析；机房级：支持机房整体能耗分布、能耗占比、能耗趋势分析。</w:t>
            </w:r>
          </w:p>
          <w:p w14:paraId="29AF9FEA">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12、支持通过网络扫描方式，自动识别新接入的硬件设备并完成平台录入，兼容的采集协议包括但不限于 SNMP、Redfish、IPMI、SSH/Telnet、NetFlow、NetStream 等。</w:t>
            </w:r>
          </w:p>
          <w:p w14:paraId="77A3B575">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13、平台须采用基于标准硬件管理接口的无代理监控架构，支持通过 IPMI、SNMP、Redfish 等标准协议实现对服务器、存储、网络设备等 IT 基础设施的直接监控；监控全过程无需在被监控设备端部署任何代理程序、专用客户端软件或硬件探针，降低系统侵入性与运维复杂度。</w:t>
            </w:r>
          </w:p>
          <w:p w14:paraId="7B8579AB">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投标人须提供对应功能截图并加盖投标人公章，作为响应证明材料。</w:t>
            </w:r>
          </w:p>
          <w:p w14:paraId="70883F9D">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14、作业执行策略：支持定时作业与实时作业两种自动化运维作业执行模式，其中实时作业支持按周期循环执行。</w:t>
            </w:r>
          </w:p>
          <w:p w14:paraId="334F1A13">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15、纳管设备范围：自动化运维能力覆盖网络设备与计算设备。</w:t>
            </w:r>
          </w:p>
          <w:p w14:paraId="14632641">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16、作业类型支持：支持多种格式的自动化运维作业，包括但不限于 Shell、BAT、PowerShell 等脚本程序，Python 等解释性语言程序，EXE 等可执行文件格式程序。</w:t>
            </w:r>
          </w:p>
          <w:p w14:paraId="6DB16116">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17、审批流程管控：平台支持对上传自动化运维程序 / 脚本、创建自动化运维作业等用户操作配置审批流程，操作须经审批生效后方可完成执行。</w:t>
            </w:r>
          </w:p>
          <w:p w14:paraId="7E29569B">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18、作业配置能力：支持为自动化运维作业指定执行用户、配置启动参数。</w:t>
            </w:r>
          </w:p>
          <w:p w14:paraId="3EA317FF">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19、操作审计：支持对所有自动化运维操作记录进行全量审计追溯。</w:t>
            </w:r>
          </w:p>
          <w:p w14:paraId="339EE8C8">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20、智能巡检功能：支持自定义创建健康巡检作业，覆盖操作系统、数据库等各类信息基础设施，及时发现设施故障；支持自定义设置巡检项与执行策略，巡检报告支持 PDF、Excel 格式导出。</w:t>
            </w:r>
          </w:p>
          <w:p w14:paraId="53145DB9">
            <w:pPr>
              <w:numPr>
                <w:ilvl w:val="0"/>
                <w:numId w:val="0"/>
              </w:numPr>
              <w:jc w:val="left"/>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21、作业全生命周期管理：支持查看自动化运维作业、健康巡检作业的基本信息、执行策略、历史执行结果等内容；支持对作业进行启动、停止控制。</w:t>
            </w:r>
          </w:p>
          <w:p w14:paraId="3F08B81B">
            <w:pPr>
              <w:numPr>
                <w:ilvl w:val="0"/>
                <w:numId w:val="0"/>
              </w:numPr>
              <w:jc w:val="left"/>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vertAlign w:val="baseline"/>
                <w:lang w:val="en-US" w:eastAsia="zh-CN"/>
              </w:rPr>
              <w:t>22、投标人须提供原厂五年质保服务，以及质保期内免费的平台版本升级服务。</w:t>
            </w:r>
          </w:p>
        </w:tc>
      </w:tr>
    </w:tbl>
    <w:p w14:paraId="2FBA1A8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lang w:val="en-US" w:eastAsia="zh-CN"/>
        </w:rPr>
        <w:t>8</w:t>
      </w: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lang w:val="en-US" w:eastAsia="zh-CN"/>
        </w:rPr>
        <w:t>安全监管类采购需求</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367"/>
        <w:gridCol w:w="811"/>
        <w:gridCol w:w="5690"/>
      </w:tblGrid>
      <w:tr w14:paraId="7EAF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41F55D69">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67" w:type="dxa"/>
            <w:vAlign w:val="center"/>
          </w:tcPr>
          <w:p w14:paraId="083BDB0E">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11" w:type="dxa"/>
            <w:vAlign w:val="center"/>
          </w:tcPr>
          <w:p w14:paraId="407608EE">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5690" w:type="dxa"/>
            <w:vAlign w:val="center"/>
          </w:tcPr>
          <w:p w14:paraId="3A7E9679">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7DC8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02B344FC">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67" w:type="dxa"/>
            <w:vAlign w:val="center"/>
          </w:tcPr>
          <w:p w14:paraId="4D67523C">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防统方管理设备</w:t>
            </w:r>
          </w:p>
        </w:tc>
        <w:tc>
          <w:tcPr>
            <w:tcW w:w="811" w:type="dxa"/>
            <w:vAlign w:val="center"/>
          </w:tcPr>
          <w:p w14:paraId="6693E86D">
            <w:pPr>
              <w:jc w:val="center"/>
              <w:rPr>
                <w:rFonts w:hint="default" w:ascii="仿宋_GB2312" w:hAnsi="仿宋_GB2312" w:eastAsia="仿宋_GB2312" w:cs="仿宋_GB2312"/>
                <w:sz w:val="21"/>
                <w:szCs w:val="21"/>
                <w:highlight w:val="none"/>
                <w:lang w:val="en-US"/>
              </w:rPr>
            </w:pPr>
            <w:r>
              <w:rPr>
                <w:rFonts w:hint="eastAsia" w:ascii="仿宋_GB2312" w:hAnsi="仿宋_GB2312" w:eastAsia="仿宋_GB2312" w:cs="仿宋_GB2312"/>
                <w:sz w:val="21"/>
                <w:szCs w:val="21"/>
                <w:highlight w:val="none"/>
                <w:lang w:val="en-US" w:eastAsia="zh-CN"/>
              </w:rPr>
              <w:t>1套</w:t>
            </w:r>
          </w:p>
        </w:tc>
        <w:tc>
          <w:tcPr>
            <w:tcW w:w="5690" w:type="dxa"/>
          </w:tcPr>
          <w:p w14:paraId="7D2FA924">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1.采用独立的标准机架式2U硬件架构，软硬件一体化系统，安全操作系统，内嵌数据库，用户无需另外安装操作系统及数据库管理系统。</w:t>
            </w:r>
          </w:p>
          <w:p w14:paraId="0C59DEAA">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2.内存：16G；</w:t>
            </w:r>
          </w:p>
          <w:p w14:paraId="0857BF43">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3.网口：千兆电口*6；</w:t>
            </w:r>
          </w:p>
          <w:p w14:paraId="5C6FE1DE">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4.硬盘：HDD硬盘：1T；SSD硬盘：128G*2，系统和业务数据分离，实现高效、安全存储；</w:t>
            </w:r>
          </w:p>
          <w:p w14:paraId="2A0C86D1">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5.SQL审计处理能力（吞吐）峰值300Mbps</w:t>
            </w:r>
          </w:p>
          <w:p w14:paraId="08130925">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6.SQL审计处理能力（速率）峰值18000SQL/S</w:t>
            </w:r>
          </w:p>
          <w:p w14:paraId="5D032A1D">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7.日志在线存储32亿条</w:t>
            </w:r>
          </w:p>
          <w:p w14:paraId="27A53FE7">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8.不限制数据库实例数（授权数不低于128个数据库实例）。</w:t>
            </w:r>
          </w:p>
          <w:p w14:paraId="5BE6EEEA">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9.旁路部署方式，对原有网络不造成影响。</w:t>
            </w:r>
          </w:p>
          <w:p w14:paraId="23217A42">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10.支持oracle、SQL Server、Mysql、DB2、postaresql 、Caché、Portal、DM、informix、Kingbase、LibrA、神通、南大通用、Samba等数据库的审计，且支持多种不同的数据库同时审计。</w:t>
            </w:r>
          </w:p>
          <w:p w14:paraId="4A9A43D9">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11.系统支持杭创、键讯、金蝶慧通、用友、中联、阳光用药、天健、厦门智业、科进、中天、天网、方正、东华、金仕达、东软、键讯、陕西医星、长城、广州力锦等his中间件审计。</w:t>
            </w:r>
          </w:p>
          <w:p w14:paraId="29B77186">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12．系统包括审计引擎及管理后台软件、策略管理、告警管理、权限管理、系统日志、系统配置等功能，审计数据统一存储、查询、分析、统计。</w:t>
            </w:r>
          </w:p>
          <w:p w14:paraId="635EDBB3">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13.系统应支持多层过滤功能，支持网络流量驱动级过滤，根据过滤的条件（如源地址IP/目的地址IP）定义规则，对网络流量进行扫描，对无用的信息从网络层进行过滤；根据系统语句（SQL语句）和白名单（条件为IP/MAC/数据库账户/审计对象/操作语句）定义规则进行应用层过滤，将客户关注的信息进行保留，避免无用信息的堆砌造成磁盘空间的浪费和性能的耗损。</w:t>
            </w:r>
          </w:p>
          <w:p w14:paraId="54BE534F">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14.系统自带各种常见HIS防统方规则库，且规则数量≥500条以上，支持自定义防统方规则。</w:t>
            </w:r>
          </w:p>
          <w:p w14:paraId="11891A12">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15.告警检索效率高达亿条数据分钟级，搜索条件支持全范围搜索（特别要求在超过亿条数据量时），一次性完成搜索的响应时间在分钟级别。</w:t>
            </w:r>
          </w:p>
          <w:p w14:paraId="4415B329">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16.支持对可疑监控对象的操作语句进行会话级的事件回放。</w:t>
            </w:r>
          </w:p>
          <w:p w14:paraId="74B3AC6E">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17.提供管理员权限设置和分权管理，纪委监测用户、系统管理用户、安全规则管理用户权限分开，相应权限的用户只能查看、管理相应的功能，责任明确。</w:t>
            </w:r>
          </w:p>
        </w:tc>
      </w:tr>
    </w:tbl>
    <w:p w14:paraId="5B05E64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（9）.应用负载均衡类设备采购需求：</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350"/>
        <w:gridCol w:w="825"/>
        <w:gridCol w:w="5695"/>
      </w:tblGrid>
      <w:tr w14:paraId="2B3C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67814E6D">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50" w:type="dxa"/>
            <w:vAlign w:val="center"/>
          </w:tcPr>
          <w:p w14:paraId="21F463E4">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25" w:type="dxa"/>
            <w:vAlign w:val="center"/>
          </w:tcPr>
          <w:p w14:paraId="66F9721A">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5695" w:type="dxa"/>
            <w:vAlign w:val="center"/>
          </w:tcPr>
          <w:p w14:paraId="35C51E6C">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核心</w:t>
            </w:r>
            <w:r>
              <w:rPr>
                <w:rFonts w:hint="eastAsia" w:ascii="仿宋_GB2312" w:hAnsi="仿宋_GB2312" w:eastAsia="仿宋_GB2312" w:cs="仿宋_GB2312"/>
                <w:sz w:val="21"/>
                <w:szCs w:val="21"/>
                <w:highlight w:val="none"/>
                <w:lang w:val="en-US" w:eastAsia="zh-CN"/>
              </w:rPr>
              <w:t>需求</w:t>
            </w:r>
            <w:r>
              <w:rPr>
                <w:rFonts w:hint="eastAsia" w:ascii="仿宋_GB2312" w:hAnsi="仿宋_GB2312" w:eastAsia="仿宋_GB2312" w:cs="仿宋_GB2312"/>
                <w:sz w:val="21"/>
                <w:szCs w:val="21"/>
                <w:highlight w:val="none"/>
              </w:rPr>
              <w:t>技术参数</w:t>
            </w:r>
          </w:p>
        </w:tc>
      </w:tr>
      <w:tr w14:paraId="181B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2A41856A">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50" w:type="dxa"/>
            <w:vAlign w:val="center"/>
          </w:tcPr>
          <w:p w14:paraId="0CAC5F7A">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应用负载均衡设备</w:t>
            </w:r>
          </w:p>
        </w:tc>
        <w:tc>
          <w:tcPr>
            <w:tcW w:w="825" w:type="dxa"/>
            <w:vAlign w:val="center"/>
          </w:tcPr>
          <w:p w14:paraId="414481B0">
            <w:pPr>
              <w:jc w:val="center"/>
              <w:rPr>
                <w:rFonts w:hint="default" w:ascii="仿宋_GB2312" w:hAnsi="仿宋_GB2312" w:eastAsia="仿宋_GB2312" w:cs="仿宋_GB2312"/>
                <w:sz w:val="21"/>
                <w:szCs w:val="21"/>
                <w:highlight w:val="none"/>
                <w:lang w:val="en-US"/>
              </w:rPr>
            </w:pPr>
            <w:r>
              <w:rPr>
                <w:rFonts w:hint="eastAsia" w:ascii="仿宋_GB2312" w:hAnsi="仿宋_GB2312" w:eastAsia="仿宋_GB2312" w:cs="仿宋_GB2312"/>
                <w:sz w:val="21"/>
                <w:szCs w:val="21"/>
                <w:highlight w:val="none"/>
                <w:lang w:val="en-US" w:eastAsia="zh-CN"/>
              </w:rPr>
              <w:t>4台</w:t>
            </w:r>
          </w:p>
        </w:tc>
        <w:tc>
          <w:tcPr>
            <w:tcW w:w="5695" w:type="dxa"/>
          </w:tcPr>
          <w:p w14:paraId="61973E36">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1、部署与性能要求</w:t>
            </w:r>
          </w:p>
          <w:p w14:paraId="68B65211">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本次采购应用负载均衡设备4台，采用两地三中心主、备数据中心各2台主备（HA）高可用部署；当主负载均衡设备失效或出现故障时，备份设备自动接管主设备工作，保持访问畅通和在线会话数据，对用户实现透明、无缝切换。</w:t>
            </w:r>
          </w:p>
          <w:p w14:paraId="40E6D54E">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（2）满足大型三甲医院1-1.5万并发用户使用需求：并发连接数≥800万，最大有效通过率≥20Gbps；业务端口≥2个万兆光口、≥2个千兆端口。</w:t>
            </w:r>
          </w:p>
          <w:p w14:paraId="06E4FFED">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2、设备管理</w:t>
            </w:r>
          </w:p>
          <w:p w14:paraId="2E49FE33">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（1）系统为B/S结构，管理机无需安装客户端软件，支持多设备集中管理模式；提供图形界面（GUI），支持中文界面。</w:t>
            </w:r>
          </w:p>
          <w:p w14:paraId="40D2A449">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（2）支持SSH访问，SSH可做限制访问设备的IP地址列表。</w:t>
            </w:r>
          </w:p>
          <w:p w14:paraId="3AC6B2BB">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3、服务器负载均衡</w:t>
            </w:r>
          </w:p>
          <w:p w14:paraId="4920A148">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（1）支持对提供负载功能的服务类型进行配置，用户可自行添加协议，以匹配服务器传输数据所支持的协议；支持添加、删除、修改真实服务器。</w:t>
            </w:r>
          </w:p>
          <w:p w14:paraId="5A3355E5">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支持多个对外IP地址和多个对外端口配置；支持关联端口检测，关联端口异常时不继续分配至对应真实服务器；支持SSL配置，可进行证书导入、生成、清除等操作；可选择虚拟服务对应的真实服务器及端口号，并设置权重。</w:t>
            </w:r>
          </w:p>
          <w:p w14:paraId="17AC730A">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3）支持应用健康检查，可检测真实服务器IP及端口、服务器对外服务IP及端口，并显示TCP检测状态、HTTP检测状态、关联端口检测状态；支持链路健康检查，可通过PING、TCP、HTTP等方式监控链路连通性，支持主动探测与被动观测结合方式使用。</w:t>
            </w:r>
          </w:p>
          <w:p w14:paraId="17AB1C35">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（4）负载转发时在HTTP请求头中添加X_FORWARDED_FOR字段，服务器可识别实际的客户端IP地址。</w:t>
            </w:r>
          </w:p>
          <w:p w14:paraId="163F120F">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（5）支持实时检测HIS服务器License状态，License已满时不再向该服务器分配新建连接。</w:t>
            </w:r>
          </w:p>
          <w:p w14:paraId="60E31671">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4、系统日志</w:t>
            </w:r>
          </w:p>
          <w:p w14:paraId="6B61D42A">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记录用户IP、登录和退出时间、系统重启关机情况及用户操作情况；支持按用户名、登录IP、操作类型、开始时间、结束时间等条件进行详细搜索筛选；可查看虚拟服务基本信息，包括虚拟服务IP、虚拟服务端口、入网流量、出网流量、拒绝请求、拒绝响应、每秒HTTP请求等信息。</w:t>
            </w:r>
          </w:p>
          <w:p w14:paraId="2877DC02">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5</w:t>
            </w:r>
            <w:r>
              <w:rPr>
                <w:rFonts w:hint="eastAsia" w:ascii="仿宋_GB2312" w:hAnsi="仿宋_GB2312" w:eastAsia="仿宋_GB2312" w:cs="仿宋_GB2312"/>
                <w:sz w:val="21"/>
                <w:szCs w:val="21"/>
                <w:highlight w:val="none"/>
              </w:rPr>
              <w:t>、、售后服务</w:t>
            </w:r>
          </w:p>
          <w:p w14:paraId="617BBF13">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提供快速本地化现场技术支持，提供7×24小时技术服务支持；提供不少于5年硬件质保及软件升级服务。</w:t>
            </w:r>
          </w:p>
        </w:tc>
      </w:tr>
      <w:tr w14:paraId="675B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0F76A447">
            <w:pPr>
              <w:jc w:val="center"/>
              <w:rPr>
                <w:rFonts w:hint="eastAsia" w:ascii="仿宋_GB2312" w:hAnsi="仿宋_GB2312" w:eastAsia="仿宋_GB2312" w:cs="仿宋_GB2312"/>
                <w:sz w:val="21"/>
                <w:szCs w:val="21"/>
                <w:highlight w:val="none"/>
                <w:lang w:val="en-US" w:eastAsia="zh-CN"/>
              </w:rPr>
            </w:pPr>
          </w:p>
        </w:tc>
        <w:tc>
          <w:tcPr>
            <w:tcW w:w="1350" w:type="dxa"/>
            <w:vAlign w:val="center"/>
          </w:tcPr>
          <w:p w14:paraId="65403F46">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企业级服务器高可用（HA）集群软件</w:t>
            </w:r>
          </w:p>
        </w:tc>
        <w:tc>
          <w:tcPr>
            <w:tcW w:w="825" w:type="dxa"/>
            <w:vAlign w:val="center"/>
          </w:tcPr>
          <w:p w14:paraId="728E1226">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3套</w:t>
            </w:r>
          </w:p>
        </w:tc>
        <w:tc>
          <w:tcPr>
            <w:tcW w:w="5695" w:type="dxa"/>
          </w:tcPr>
          <w:p w14:paraId="4ECFDCEF">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为保障业务系统7×24小时不间断稳定运行，规避单台服务器硬件故障、系统异常、服务宕机、网络波动等问题导致的业务中断、数据丢失、用户访问异常等风险，需采购企业级服务器高可用（HA）集群软件3套。软件需支持双节点及多节点集群部署模式，可根据业务扩容需求灵活增减集群节点，支持主备、双活、并行多种集群工作模式，满足不同业务等级的高可用需求，需兼容本地机房物理服务器、虚拟化平台虚拟机混合组网部署，无需大幅改造现有服务器硬件及网络架构，适配现有Windows Server、Linux、麒麟、统信UOS等主流国产及商用服务器操作系统。实现业务服务自动故障检测、故障自动切换、资源自动迁移、数据实时同步，全面提升核心业务的连续性、稳定性与容灾能力，适配医院核心业务系统、数据库、应用服务的高可用运行场景。</w:t>
            </w:r>
          </w:p>
        </w:tc>
      </w:tr>
    </w:tbl>
    <w:p w14:paraId="27AF1E2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eastAsia="zh-CN"/>
        </w:rPr>
        <w:t>（10）.综合集成服务需求</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367"/>
        <w:gridCol w:w="811"/>
        <w:gridCol w:w="5690"/>
      </w:tblGrid>
      <w:tr w14:paraId="2B98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1D8CBD1C">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序号</w:t>
            </w:r>
          </w:p>
        </w:tc>
        <w:tc>
          <w:tcPr>
            <w:tcW w:w="1367" w:type="dxa"/>
            <w:vAlign w:val="center"/>
          </w:tcPr>
          <w:p w14:paraId="7946AF9A">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设备名称</w:t>
            </w:r>
          </w:p>
        </w:tc>
        <w:tc>
          <w:tcPr>
            <w:tcW w:w="811" w:type="dxa"/>
            <w:vAlign w:val="center"/>
          </w:tcPr>
          <w:p w14:paraId="0F64E2BA">
            <w:pPr>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数量</w:t>
            </w:r>
          </w:p>
        </w:tc>
        <w:tc>
          <w:tcPr>
            <w:tcW w:w="5690" w:type="dxa"/>
            <w:vAlign w:val="center"/>
          </w:tcPr>
          <w:p w14:paraId="3536617F">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服务要求</w:t>
            </w:r>
          </w:p>
        </w:tc>
      </w:tr>
      <w:tr w14:paraId="1C65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vAlign w:val="center"/>
          </w:tcPr>
          <w:p w14:paraId="29F958F6">
            <w:pPr>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w:t>
            </w:r>
          </w:p>
        </w:tc>
        <w:tc>
          <w:tcPr>
            <w:tcW w:w="1367" w:type="dxa"/>
            <w:vAlign w:val="center"/>
          </w:tcPr>
          <w:p w14:paraId="3412F269">
            <w:pPr>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综合集成服务</w:t>
            </w:r>
          </w:p>
        </w:tc>
        <w:tc>
          <w:tcPr>
            <w:tcW w:w="811" w:type="dxa"/>
            <w:vAlign w:val="center"/>
          </w:tcPr>
          <w:p w14:paraId="77614A90">
            <w:pPr>
              <w:jc w:val="center"/>
              <w:rPr>
                <w:rFonts w:hint="default" w:ascii="仿宋_GB2312" w:hAnsi="仿宋_GB2312" w:eastAsia="仿宋_GB2312" w:cs="仿宋_GB2312"/>
                <w:sz w:val="21"/>
                <w:szCs w:val="21"/>
                <w:highlight w:val="none"/>
                <w:lang w:val="en-US"/>
              </w:rPr>
            </w:pPr>
            <w:r>
              <w:rPr>
                <w:rFonts w:hint="eastAsia" w:ascii="仿宋_GB2312" w:hAnsi="仿宋_GB2312" w:eastAsia="仿宋_GB2312" w:cs="仿宋_GB2312"/>
                <w:sz w:val="21"/>
                <w:szCs w:val="21"/>
                <w:highlight w:val="none"/>
                <w:lang w:val="en-US" w:eastAsia="zh-CN"/>
              </w:rPr>
              <w:t>1套</w:t>
            </w:r>
          </w:p>
        </w:tc>
        <w:tc>
          <w:tcPr>
            <w:tcW w:w="5690" w:type="dxa"/>
          </w:tcPr>
          <w:p w14:paraId="4A1A2DE6">
            <w:pP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1、需完成数据中心全网安全架构规划、多类安全设备部署调试、系统融合集成、合规落地及全周期运维保障工作。</w:t>
            </w:r>
          </w:p>
          <w:p w14:paraId="33ACE726">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2、所有集成服务需严格遵循《网络安全等级保护2.0》《医疗卫生机构网络安全管理办法》《健康医疗大数据标准、安全和服务管理办法》及医院电子病历、智慧医院评审相关规范，贴合医疗行业数据涉密、业务连续、7×24小时不间断运行的核心需求。</w:t>
            </w:r>
          </w:p>
          <w:p w14:paraId="42FF4FB6">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3、构建边界防护、终端防护、数据防护、行为审计、运维管控、威胁感知一体化的纵深安全防御体系，保障医院HIS、LIS、PACS、医保结算、互联网医院等核心业务安全稳定运行。</w:t>
            </w:r>
          </w:p>
          <w:p w14:paraId="500BA8F9">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4、结合医院现状及合规标准，出具专项集成实施方案、安全架构设计方案、设备部署拓扑图、策略规划方案、割接实施方案及应急保障方案，方案需通过医院审核后方可实施。方案需明确各设备部署位置、网络对接方式、策略联动规则、日志汇总方式、合规适配要点，贴合医疗业务场景。</w:t>
            </w:r>
          </w:p>
          <w:p w14:paraId="237668B7">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5、所有设备上线、网络割接、策略切换需制定详细割接方案与回滚方案，选择凌晨、节假日等业务低峰期实施，全程安排专人值守，实时监测业务运行状态、网络连通状态、设备运行状态。割接完成后开展72小时不间断试运行，确保无业务卡顿、中断、报错、数据异常等问题，试运行合格后方可正式交付。</w:t>
            </w:r>
          </w:p>
          <w:p w14:paraId="4A51204F">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6、项目验收前需交付完整、规范、可落地的全套资料，包含项目实施方案、拓扑图纸、设备配置文档、策略台账、日志留存说明、测试报告、试运行报告、合规自查报告、操作手册、运维手册、应急预案、设备资料归档文件等，所有文档纸质、电子版本同步交付。</w:t>
            </w:r>
          </w:p>
          <w:p w14:paraId="7F2A86D9">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7、针对医院信息科运维人员开展分层培训，包含设备基础操作、策略配置、告警处置、故障排查、日志分析、合规运维、系统联动管理等内容，确保运维人员可独立完成日常管理、故障处置、策略优化工作，培训完成后提供培训记录、课件资料。</w:t>
            </w:r>
          </w:p>
          <w:p w14:paraId="376D77AD">
            <w:pPr>
              <w:keepNext w:val="0"/>
              <w:keepLines w:val="0"/>
              <w:widowControl/>
              <w:suppressLineNumbers w:val="0"/>
              <w:jc w:val="left"/>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8、项目完成全部集成实施、调试优化、试运行、培训工作后，服务商提交验收申请，医院组织验收。验收内容包含架构合规性、设备运行稳定性、系统联动有效性、业务运行完整性、日志审计合规性、文档完整性、培训完成情况等，所有指标100%达标、无遗留问题、满足医疗行业合规及业务运行要求，方可完成最终验收。项目验收后需配合医院完成后续长期合规测评、整改、运维支撑工作。</w:t>
            </w:r>
          </w:p>
        </w:tc>
      </w:tr>
    </w:tbl>
    <w:p w14:paraId="7CC3BC5B">
      <w:pPr>
        <w:rPr>
          <w:rFonts w:ascii="Calibri" w:hAnsi="Calibri" w:eastAsia="宋体" w:cs="宋体"/>
          <w:szCs w:val="22"/>
        </w:rPr>
      </w:pPr>
    </w:p>
    <w:p w14:paraId="76E26C97">
      <w:pPr>
        <w:rPr>
          <w:rFonts w:hint="eastAsia" w:ascii="Calibri" w:hAnsi="Calibri" w:eastAsia="宋体" w:cs="宋体"/>
          <w:sz w:val="30"/>
          <w:szCs w:val="30"/>
          <w:lang w:val="en-US" w:eastAsia="zh-CN"/>
        </w:rPr>
      </w:pPr>
    </w:p>
    <w:p w14:paraId="68F79CE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B7D75B"/>
    <w:multiLevelType w:val="singleLevel"/>
    <w:tmpl w:val="8FB7D75B"/>
    <w:lvl w:ilvl="0" w:tentative="0">
      <w:start w:val="1"/>
      <w:numFmt w:val="decimal"/>
      <w:suff w:val="nothing"/>
      <w:lvlText w:val="%1、"/>
      <w:lvlJc w:val="left"/>
    </w:lvl>
  </w:abstractNum>
  <w:abstractNum w:abstractNumId="1">
    <w:nsid w:val="B6306815"/>
    <w:multiLevelType w:val="singleLevel"/>
    <w:tmpl w:val="B6306815"/>
    <w:lvl w:ilvl="0" w:tentative="0">
      <w:start w:val="1"/>
      <w:numFmt w:val="decimal"/>
      <w:suff w:val="nothing"/>
      <w:lvlText w:val="%1、"/>
      <w:lvlJc w:val="left"/>
    </w:lvl>
  </w:abstractNum>
  <w:abstractNum w:abstractNumId="2">
    <w:nsid w:val="C17EE21E"/>
    <w:multiLevelType w:val="singleLevel"/>
    <w:tmpl w:val="C17EE21E"/>
    <w:lvl w:ilvl="0" w:tentative="0">
      <w:start w:val="1"/>
      <w:numFmt w:val="decimal"/>
      <w:suff w:val="nothing"/>
      <w:lvlText w:val="%1、"/>
      <w:lvlJc w:val="left"/>
    </w:lvl>
  </w:abstractNum>
  <w:abstractNum w:abstractNumId="3">
    <w:nsid w:val="C2FC3418"/>
    <w:multiLevelType w:val="singleLevel"/>
    <w:tmpl w:val="C2FC3418"/>
    <w:lvl w:ilvl="0" w:tentative="0">
      <w:start w:val="1"/>
      <w:numFmt w:val="decimal"/>
      <w:suff w:val="space"/>
      <w:lvlText w:val="%1."/>
      <w:lvlJc w:val="left"/>
    </w:lvl>
  </w:abstractNum>
  <w:abstractNum w:abstractNumId="4">
    <w:nsid w:val="EFDBA576"/>
    <w:multiLevelType w:val="singleLevel"/>
    <w:tmpl w:val="EFDBA576"/>
    <w:lvl w:ilvl="0" w:tentative="0">
      <w:start w:val="1"/>
      <w:numFmt w:val="decimal"/>
      <w:suff w:val="nothing"/>
      <w:lvlText w:val="%1、"/>
      <w:lvlJc w:val="left"/>
    </w:lvl>
  </w:abstractNum>
  <w:abstractNum w:abstractNumId="5">
    <w:nsid w:val="F62E8B20"/>
    <w:multiLevelType w:val="singleLevel"/>
    <w:tmpl w:val="F62E8B20"/>
    <w:lvl w:ilvl="0" w:tentative="0">
      <w:start w:val="1"/>
      <w:numFmt w:val="decimal"/>
      <w:suff w:val="space"/>
      <w:lvlText w:val="%1."/>
      <w:lvlJc w:val="left"/>
    </w:lvl>
  </w:abstractNum>
  <w:abstractNum w:abstractNumId="6">
    <w:nsid w:val="F7B36D28"/>
    <w:multiLevelType w:val="singleLevel"/>
    <w:tmpl w:val="F7B36D28"/>
    <w:lvl w:ilvl="0" w:tentative="0">
      <w:start w:val="1"/>
      <w:numFmt w:val="decimal"/>
      <w:suff w:val="nothing"/>
      <w:lvlText w:val="%1、"/>
      <w:lvlJc w:val="left"/>
    </w:lvl>
  </w:abstractNum>
  <w:abstractNum w:abstractNumId="7">
    <w:nsid w:val="FCDEF6A4"/>
    <w:multiLevelType w:val="singleLevel"/>
    <w:tmpl w:val="FCDEF6A4"/>
    <w:lvl w:ilvl="0" w:tentative="0">
      <w:start w:val="1"/>
      <w:numFmt w:val="decimal"/>
      <w:suff w:val="nothing"/>
      <w:lvlText w:val="%1、"/>
      <w:lvlJc w:val="left"/>
    </w:lvl>
  </w:abstractNum>
  <w:abstractNum w:abstractNumId="8">
    <w:nsid w:val="FEAF8BE5"/>
    <w:multiLevelType w:val="singleLevel"/>
    <w:tmpl w:val="FEAF8BE5"/>
    <w:lvl w:ilvl="0" w:tentative="0">
      <w:start w:val="1"/>
      <w:numFmt w:val="decimal"/>
      <w:suff w:val="nothing"/>
      <w:lvlText w:val="%1、"/>
      <w:lvlJc w:val="left"/>
    </w:lvl>
  </w:abstractNum>
  <w:abstractNum w:abstractNumId="9">
    <w:nsid w:val="FFEC63C8"/>
    <w:multiLevelType w:val="singleLevel"/>
    <w:tmpl w:val="FFEC63C8"/>
    <w:lvl w:ilvl="0" w:tentative="0">
      <w:start w:val="1"/>
      <w:numFmt w:val="decimal"/>
      <w:suff w:val="nothing"/>
      <w:lvlText w:val="%1、"/>
      <w:lvlJc w:val="left"/>
    </w:lvl>
  </w:abstractNum>
  <w:abstractNum w:abstractNumId="10">
    <w:nsid w:val="019ED395"/>
    <w:multiLevelType w:val="singleLevel"/>
    <w:tmpl w:val="019ED395"/>
    <w:lvl w:ilvl="0" w:tentative="0">
      <w:start w:val="1"/>
      <w:numFmt w:val="decimal"/>
      <w:suff w:val="nothing"/>
      <w:lvlText w:val="%1、"/>
      <w:lvlJc w:val="left"/>
    </w:lvl>
  </w:abstractNum>
  <w:abstractNum w:abstractNumId="11">
    <w:nsid w:val="39216A55"/>
    <w:multiLevelType w:val="singleLevel"/>
    <w:tmpl w:val="39216A55"/>
    <w:lvl w:ilvl="0" w:tentative="0">
      <w:start w:val="1"/>
      <w:numFmt w:val="decimal"/>
      <w:suff w:val="nothing"/>
      <w:lvlText w:val="%1、"/>
      <w:lvlJc w:val="left"/>
    </w:lvl>
  </w:abstractNum>
  <w:abstractNum w:abstractNumId="12">
    <w:nsid w:val="64780FCB"/>
    <w:multiLevelType w:val="singleLevel"/>
    <w:tmpl w:val="64780FCB"/>
    <w:lvl w:ilvl="0" w:tentative="0">
      <w:start w:val="1"/>
      <w:numFmt w:val="decimal"/>
      <w:suff w:val="nothing"/>
      <w:lvlText w:val="%1、"/>
      <w:lvlJc w:val="left"/>
    </w:lvl>
  </w:abstractNum>
  <w:abstractNum w:abstractNumId="13">
    <w:nsid w:val="6F4EDBF3"/>
    <w:multiLevelType w:val="singleLevel"/>
    <w:tmpl w:val="6F4EDBF3"/>
    <w:lvl w:ilvl="0" w:tentative="0">
      <w:start w:val="1"/>
      <w:numFmt w:val="decimal"/>
      <w:suff w:val="nothing"/>
      <w:lvlText w:val="%1、"/>
      <w:lvlJc w:val="left"/>
    </w:lvl>
  </w:abstractNum>
  <w:abstractNum w:abstractNumId="14">
    <w:nsid w:val="7F47DC10"/>
    <w:multiLevelType w:val="singleLevel"/>
    <w:tmpl w:val="7F47DC10"/>
    <w:lvl w:ilvl="0" w:tentative="0">
      <w:start w:val="1"/>
      <w:numFmt w:val="decimal"/>
      <w:suff w:val="nothing"/>
      <w:lvlText w:val="%1、"/>
      <w:lvlJc w:val="left"/>
    </w:lvl>
  </w:abstractNum>
  <w:num w:numId="1">
    <w:abstractNumId w:val="9"/>
  </w:num>
  <w:num w:numId="2">
    <w:abstractNumId w:val="0"/>
  </w:num>
  <w:num w:numId="3">
    <w:abstractNumId w:val="10"/>
  </w:num>
  <w:num w:numId="4">
    <w:abstractNumId w:val="11"/>
  </w:num>
  <w:num w:numId="5">
    <w:abstractNumId w:val="12"/>
  </w:num>
  <w:num w:numId="6">
    <w:abstractNumId w:val="8"/>
  </w:num>
  <w:num w:numId="7">
    <w:abstractNumId w:val="4"/>
  </w:num>
  <w:num w:numId="8">
    <w:abstractNumId w:val="13"/>
  </w:num>
  <w:num w:numId="9">
    <w:abstractNumId w:val="14"/>
  </w:num>
  <w:num w:numId="10">
    <w:abstractNumId w:val="3"/>
  </w:num>
  <w:num w:numId="11">
    <w:abstractNumId w:val="5"/>
  </w:num>
  <w:num w:numId="12">
    <w:abstractNumId w:val="1"/>
  </w:num>
  <w:num w:numId="13">
    <w:abstractNumId w:val="2"/>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83023D"/>
    <w:rsid w:val="38830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2026-08-17T01:46:00Z</dcterms:created>
  <dc:creator>WPS_1664416089</dc:creator>
  <cp:lastModifiedBy>WPS_1664416089</cp:lastModifiedBy>
  <dcterms:modified xsi:type="dcterms:W3CDTF">2026-08-17T01:47:18Z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B26E328244B84506B89894E0E5AB873B_11</vt:lpwstr>
  </property>
  <property fmtid="{D5CDD505-2E9C-101B-9397-08002B2CF9AE}" pid="4" name="KSOTemplateDocerSaveRecord">
    <vt:lpwstr>eyJoZGlkIjoiMWNlNzZmMWVjYjhiM2U2MjVjMTU0NGMzYWE5NmQ3OGYiLCJ1c2VySWQiOiIxNDIxMTIyODE3In0=</vt:lpwstr>
  </property>
</Properties>
</file>