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4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890"/>
        <w:gridCol w:w="890"/>
        <w:gridCol w:w="890"/>
        <w:gridCol w:w="60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2" w:hRule="atLeast"/>
        </w:trPr>
        <w:tc>
          <w:tcPr>
            <w:tcW w:w="7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申购科室名称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申购设备名称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进口/国产</w:t>
            </w:r>
          </w:p>
        </w:tc>
        <w:tc>
          <w:tcPr>
            <w:tcW w:w="6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肿瘤内科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电动制膜床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6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1、辅助肿瘤患者放射治疗模体设计；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2、设备床面能实现电动上下、前后、左右移动，便于行动不便的肿瘤患者转运，下降高度最低&lt;70cm;设备床面长度≥210cm，宽度≥52cm；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3、床面为碳纤维材质；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4、设备左侧、右侧、顶部固定激光灯各1个，且提供墙面安装支架；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5、激光灯：激光等级Ⅱ,激光颜色：绿色，激光线宽：&lt;=1mm,投射范围：&gt;=4m；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老年重症医学科病区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多通道输注工作站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</w:t>
            </w:r>
          </w:p>
        </w:tc>
        <w:tc>
          <w:tcPr>
            <w:tcW w:w="60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1、任意组合成一体的多通道输液工作站，一根电源线管理，一个通道坏了，不影响其他通道正常使用。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2、触摸屏操作，即触即所得，简单易用，屏幕背景至少7种颜色可调，用以使用不同危重等级的药物使用。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3、可自动识别规格2ml.5ml.10ml.20ml.30ml.50ml等不同品牌注射器，满足不同年龄患者的药物输注需求。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4、注射泵至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少3种推头装载模式：手动模式，自动模式，手自一体模式。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5、未来在这个配置基础上，需要通过WIFI模式升级，链接到中央监护站数据统计，适配远程智能输注系统，可用于隔离病房；配合磁共振输注系统应用于MRI工作环境，为急危重症患者用于核磁环境下。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6、配置要求：1.主机、2.托盘（输液架固定盘）、3.电源线、4.提手等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kMzI5NDY1NTRkNzVlMGEyNDc2Zjk4ZmUxN2ZjNzkifQ=="/>
  </w:docVars>
  <w:rsids>
    <w:rsidRoot w:val="62614399"/>
    <w:rsid w:val="0147153B"/>
    <w:rsid w:val="59212727"/>
    <w:rsid w:val="5CFF1E3E"/>
    <w:rsid w:val="62614399"/>
    <w:rsid w:val="6595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3"/>
    <w:qFormat/>
    <w:uiPriority w:val="0"/>
    <w:rPr>
      <w:rFonts w:ascii="Arial" w:hAnsi="Arial" w:cs="Arial"/>
      <w:color w:val="000000"/>
      <w:sz w:val="22"/>
      <w:szCs w:val="22"/>
      <w:u w:val="none"/>
    </w:rPr>
  </w:style>
  <w:style w:type="character" w:customStyle="1" w:styleId="5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487</Words>
  <Characters>543</Characters>
  <Lines>0</Lines>
  <Paragraphs>0</Paragraphs>
  <TotalTime>1</TotalTime>
  <ScaleCrop>false</ScaleCrop>
  <LinksUpToDate>false</LinksUpToDate>
  <CharactersWithSpaces>543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2023-04-10T00:42:00Z</dcterms:created>
  <dc:creator>医学装备科</dc:creator>
  <cp:lastModifiedBy>医学装备科</cp:lastModifiedBy>
  <dcterms:modified xsi:type="dcterms:W3CDTF">2023-04-18T03:38:40Z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F782178E81434D9DB1C54C178A893523_11</vt:lpwstr>
  </property>
</Properties>
</file>