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Spec="center" w:tblpY="1488"/>
        <w:tblOverlap w:val="never"/>
        <w:tblW w:w="87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813"/>
        <w:gridCol w:w="840"/>
        <w:gridCol w:w="827"/>
        <w:gridCol w:w="54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进口/国产</w:t>
            </w:r>
          </w:p>
        </w:tc>
        <w:tc>
          <w:tcPr>
            <w:tcW w:w="5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  <w:jc w:val="center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重症医学科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无创脑血氧监测仪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主要用于神经重症患者，如：脑梗塞、脑出血、颅脑损伤等，进行实时动态脑血氧饱和度监测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1、可进行动态脑氧饱和度监测，仪器可储电。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2、可录入患者信息，可储存，可调取。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3、可贮存监测数据，可调取。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4、可以在ICU病房内完成床旁监测。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3" w:hRule="atLeast"/>
          <w:jc w:val="center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心血管内科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动态心电记录仪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主要用于临床病人24小时及以上动态心电图检查及起搏器工作状态评估；需支持72小时动态心电图检查，可与医院现有分规系统兼容。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1.记录盒可查看电池电量及导联线是否脱落功能，当电池电量不足或者导联线脱落时可报警提示；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2.记录盒导联线采用嵌入一体式设计，牢固耐用，连接正常时记录盒可自动开始记录；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3.记录盒采样率最高可达10000Hz，可支持起搏器采样；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4.记录盒采用芯片或存储卡存储数据，存储容量高，采用普通干电池供电，能耗低；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5.分析软件操作简单，分析快速准确，功能完善。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动态心电记录仪主机30套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专用分析电脑 5套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动态心电导联线 90副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高速记录卡60张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记录仪背包 90个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2BAD717A"/>
    <w:rsid w:val="094470D1"/>
    <w:rsid w:val="2BAD717A"/>
    <w:rsid w:val="410D36B3"/>
    <w:rsid w:val="7B10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6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565</Words>
  <Characters>587</Characters>
  <Lines>0</Lines>
  <Paragraphs>0</Paragraphs>
  <TotalTime>1</TotalTime>
  <ScaleCrop>false</ScaleCrop>
  <LinksUpToDate>false</LinksUpToDate>
  <CharactersWithSpaces>590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2023-03-09T06:34:00Z</dcterms:created>
  <dc:creator>医学装备科</dc:creator>
  <cp:lastModifiedBy>医学装备科</cp:lastModifiedBy>
  <dcterms:modified xsi:type="dcterms:W3CDTF">2023-03-16T02:56:27Z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6F2562C49C734F1D9A16ED73D08FEF16</vt:lpwstr>
  </property>
</Properties>
</file>