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数据实时备份系统采购</w:t>
      </w:r>
      <w:r>
        <w:rPr>
          <w:rFonts w:hint="eastAsia" w:ascii="方正小标宋简体" w:hAnsi="方正小标宋简体" w:eastAsia="方正小标宋简体" w:cs="方正小标宋简体"/>
          <w:sz w:val="36"/>
          <w:szCs w:val="36"/>
        </w:rPr>
        <w:t>项目市场调研参数</w:t>
      </w:r>
    </w:p>
    <w:p>
      <w:pPr>
        <w:pageBreakBefore w:val="0"/>
        <w:widowControl w:val="0"/>
        <w:kinsoku/>
        <w:wordWrap/>
        <w:overflowPunct/>
        <w:topLinePunct w:val="0"/>
        <w:bidi w:val="0"/>
        <w:snapToGrid/>
        <w:spacing w:line="480" w:lineRule="exact"/>
        <w:jc w:val="left"/>
        <w:rPr>
          <w:rFonts w:hint="eastAsia" w:ascii="宋体" w:hAnsi="宋体" w:eastAsia="宋体" w:cs="宋体"/>
          <w:b/>
          <w:kern w:val="2"/>
          <w:sz w:val="28"/>
          <w:szCs w:val="28"/>
          <w:lang w:val="en-US" w:eastAsia="zh-CN" w:bidi="ar"/>
        </w:rPr>
      </w:pPr>
      <w:r>
        <w:rPr>
          <w:rFonts w:hint="eastAsia" w:ascii="宋体" w:hAnsi="宋体" w:eastAsia="宋体" w:cs="宋体"/>
          <w:b/>
          <w:kern w:val="2"/>
          <w:sz w:val="28"/>
          <w:szCs w:val="28"/>
          <w:lang w:val="en-US" w:eastAsia="zh-CN" w:bidi="ar"/>
        </w:rPr>
        <w:t>一、信息化建设项目调研清单</w:t>
      </w:r>
    </w:p>
    <w:p>
      <w:pPr>
        <w:pStyle w:val="2"/>
        <w:rPr>
          <w:rFonts w:hint="eastAsia"/>
        </w:rPr>
      </w:pPr>
    </w:p>
    <w:tbl>
      <w:tblPr>
        <w:tblStyle w:val="6"/>
        <w:tblW w:w="8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75"/>
        <w:gridCol w:w="1562"/>
        <w:gridCol w:w="3732"/>
        <w:gridCol w:w="3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5" w:hRule="atLeast"/>
        </w:trPr>
        <w:tc>
          <w:tcPr>
            <w:tcW w:w="675" w:type="dxa"/>
            <w:noWrap w:val="0"/>
            <w:vAlign w:val="center"/>
          </w:tcPr>
          <w:p>
            <w:pPr>
              <w:pageBreakBefore w:val="0"/>
              <w:kinsoku/>
              <w:wordWrap/>
              <w:overflowPunct/>
              <w:topLinePunct w:val="0"/>
              <w:bidi w:val="0"/>
              <w:snapToGrid/>
              <w:spacing w:line="480" w:lineRule="exact"/>
              <w:jc w:val="center"/>
              <w:textAlignment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bidi="ar"/>
              </w:rPr>
              <w:t>序号</w:t>
            </w:r>
          </w:p>
        </w:tc>
        <w:tc>
          <w:tcPr>
            <w:tcW w:w="1562" w:type="dxa"/>
            <w:noWrap w:val="0"/>
            <w:vAlign w:val="center"/>
          </w:tcPr>
          <w:p>
            <w:pPr>
              <w:pageBreakBefore w:val="0"/>
              <w:kinsoku/>
              <w:wordWrap/>
              <w:overflowPunct/>
              <w:topLinePunct w:val="0"/>
              <w:bidi w:val="0"/>
              <w:snapToGrid/>
              <w:spacing w:line="480" w:lineRule="exact"/>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申报科室</w:t>
            </w:r>
          </w:p>
        </w:tc>
        <w:tc>
          <w:tcPr>
            <w:tcW w:w="3732" w:type="dxa"/>
            <w:noWrap w:val="0"/>
            <w:vAlign w:val="center"/>
          </w:tcPr>
          <w:p>
            <w:pPr>
              <w:pageBreakBefore w:val="0"/>
              <w:kinsoku/>
              <w:wordWrap/>
              <w:overflowPunct/>
              <w:topLinePunct w:val="0"/>
              <w:bidi w:val="0"/>
              <w:snapToGrid/>
              <w:spacing w:line="480" w:lineRule="exact"/>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申报设备名称</w:t>
            </w:r>
          </w:p>
        </w:tc>
        <w:tc>
          <w:tcPr>
            <w:tcW w:w="3021" w:type="dxa"/>
            <w:noWrap w:val="0"/>
            <w:vAlign w:val="center"/>
          </w:tcPr>
          <w:p>
            <w:pPr>
              <w:pageBreakBefore w:val="0"/>
              <w:kinsoku/>
              <w:wordWrap/>
              <w:overflowPunct/>
              <w:topLinePunct w:val="0"/>
              <w:bidi w:val="0"/>
              <w:snapToGrid/>
              <w:spacing w:line="480" w:lineRule="exact"/>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75" w:type="dxa"/>
            <w:shd w:val="clear" w:color="auto" w:fill="auto"/>
            <w:noWrap w:val="0"/>
            <w:vAlign w:val="center"/>
          </w:tcPr>
          <w:p>
            <w:pPr>
              <w:pageBreakBefore w:val="0"/>
              <w:kinsoku/>
              <w:wordWrap/>
              <w:overflowPunct/>
              <w:topLinePunct w:val="0"/>
              <w:bidi w:val="0"/>
              <w:snapToGrid/>
              <w:spacing w:line="480" w:lineRule="exact"/>
              <w:jc w:val="center"/>
              <w:textAlignment w:val="center"/>
              <w:rPr>
                <w:rFonts w:hint="default" w:ascii="宋体" w:hAnsi="宋体" w:cs="宋体"/>
                <w:b/>
                <w:color w:val="000000"/>
                <w:sz w:val="28"/>
                <w:szCs w:val="28"/>
                <w:lang w:val="en-US" w:eastAsia="zh-CN" w:bidi="ar"/>
              </w:rPr>
            </w:pPr>
            <w:r>
              <w:rPr>
                <w:rFonts w:hint="eastAsia" w:ascii="宋体" w:hAnsi="宋体" w:cs="宋体"/>
                <w:b/>
                <w:color w:val="000000"/>
                <w:sz w:val="28"/>
                <w:szCs w:val="28"/>
                <w:lang w:val="en-US" w:eastAsia="zh-CN" w:bidi="ar"/>
              </w:rPr>
              <w:t>1</w:t>
            </w:r>
          </w:p>
        </w:tc>
        <w:tc>
          <w:tcPr>
            <w:tcW w:w="1562" w:type="dxa"/>
            <w:shd w:val="clear" w:color="auto" w:fill="FFFFFF"/>
            <w:noWrap w:val="0"/>
            <w:vAlign w:val="center"/>
          </w:tcPr>
          <w:p>
            <w:pPr>
              <w:pageBreakBefore w:val="0"/>
              <w:kinsoku/>
              <w:wordWrap/>
              <w:overflowPunct/>
              <w:topLinePunct w:val="0"/>
              <w:bidi w:val="0"/>
              <w:snapToGrid/>
              <w:spacing w:line="480" w:lineRule="exact"/>
              <w:jc w:val="center"/>
              <w:textAlignment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信息统计科</w:t>
            </w:r>
          </w:p>
        </w:tc>
        <w:tc>
          <w:tcPr>
            <w:tcW w:w="3732" w:type="dxa"/>
            <w:shd w:val="clear" w:color="auto" w:fill="FFFFFF"/>
            <w:noWrap w:val="0"/>
            <w:vAlign w:val="center"/>
          </w:tcPr>
          <w:p>
            <w:pPr>
              <w:pageBreakBefore w:val="0"/>
              <w:kinsoku/>
              <w:wordWrap/>
              <w:overflowPunct/>
              <w:topLinePunct w:val="0"/>
              <w:bidi w:val="0"/>
              <w:snapToGrid/>
              <w:spacing w:line="480" w:lineRule="exact"/>
              <w:jc w:val="center"/>
              <w:textAlignment w:val="center"/>
              <w:rPr>
                <w:rFonts w:hint="eastAsia" w:ascii="宋体" w:hAnsi="宋体" w:cs="宋体"/>
                <w:color w:val="000000"/>
                <w:sz w:val="24"/>
                <w:szCs w:val="24"/>
                <w:lang w:val="en-US" w:eastAsia="zh-CN"/>
              </w:rPr>
            </w:pPr>
            <w:r>
              <w:rPr>
                <w:rFonts w:hint="eastAsia" w:ascii="宋体" w:hAnsi="宋体" w:cs="宋体"/>
                <w:kern w:val="2"/>
                <w:sz w:val="28"/>
                <w:szCs w:val="28"/>
                <w:lang w:val="en-US" w:eastAsia="zh-CN"/>
              </w:rPr>
              <w:t>持续数据保护平台</w:t>
            </w:r>
          </w:p>
        </w:tc>
        <w:tc>
          <w:tcPr>
            <w:tcW w:w="3021" w:type="dxa"/>
            <w:noWrap w:val="0"/>
            <w:vAlign w:val="center"/>
          </w:tcPr>
          <w:p>
            <w:pPr>
              <w:pageBreakBefore w:val="0"/>
              <w:kinsoku/>
              <w:wordWrap/>
              <w:overflowPunct/>
              <w:topLinePunct w:val="0"/>
              <w:bidi w:val="0"/>
              <w:snapToGrid/>
              <w:spacing w:line="480" w:lineRule="exact"/>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75" w:type="dxa"/>
            <w:shd w:val="clear" w:color="auto" w:fill="auto"/>
            <w:noWrap w:val="0"/>
            <w:vAlign w:val="center"/>
          </w:tcPr>
          <w:p>
            <w:pPr>
              <w:pageBreakBefore w:val="0"/>
              <w:kinsoku/>
              <w:wordWrap/>
              <w:overflowPunct/>
              <w:topLinePunct w:val="0"/>
              <w:bidi w:val="0"/>
              <w:snapToGrid/>
              <w:spacing w:line="480" w:lineRule="exact"/>
              <w:jc w:val="center"/>
              <w:textAlignment w:val="center"/>
              <w:rPr>
                <w:rFonts w:hint="default" w:ascii="宋体" w:hAnsi="宋体" w:cs="宋体"/>
                <w:b/>
                <w:color w:val="000000"/>
                <w:sz w:val="28"/>
                <w:szCs w:val="28"/>
                <w:lang w:val="en-US" w:eastAsia="zh-CN" w:bidi="ar"/>
              </w:rPr>
            </w:pPr>
            <w:r>
              <w:rPr>
                <w:rFonts w:hint="eastAsia" w:ascii="宋体" w:hAnsi="宋体" w:cs="宋体"/>
                <w:b/>
                <w:color w:val="000000"/>
                <w:sz w:val="28"/>
                <w:szCs w:val="28"/>
                <w:lang w:val="en-US" w:eastAsia="zh-CN" w:bidi="ar"/>
              </w:rPr>
              <w:t>2</w:t>
            </w:r>
          </w:p>
        </w:tc>
        <w:tc>
          <w:tcPr>
            <w:tcW w:w="1562" w:type="dxa"/>
            <w:shd w:val="clear" w:color="auto" w:fill="FFFFFF"/>
            <w:noWrap w:val="0"/>
            <w:vAlign w:val="center"/>
          </w:tcPr>
          <w:p>
            <w:pPr>
              <w:pageBreakBefore w:val="0"/>
              <w:kinsoku/>
              <w:wordWrap/>
              <w:overflowPunct/>
              <w:topLinePunct w:val="0"/>
              <w:bidi w:val="0"/>
              <w:snapToGrid/>
              <w:spacing w:line="480" w:lineRule="exact"/>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信息统计科</w:t>
            </w:r>
          </w:p>
        </w:tc>
        <w:tc>
          <w:tcPr>
            <w:tcW w:w="3732" w:type="dxa"/>
            <w:shd w:val="clear" w:color="auto" w:fill="FFFFFF"/>
            <w:noWrap w:val="0"/>
            <w:vAlign w:val="center"/>
          </w:tcPr>
          <w:p>
            <w:pPr>
              <w:widowControl/>
              <w:spacing w:line="480" w:lineRule="exact"/>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cs="宋体"/>
                <w:kern w:val="2"/>
                <w:sz w:val="28"/>
                <w:szCs w:val="28"/>
                <w:lang w:val="en-US" w:eastAsia="zh-CN"/>
              </w:rPr>
              <w:t>数据备份与恢复平台</w:t>
            </w:r>
          </w:p>
        </w:tc>
        <w:tc>
          <w:tcPr>
            <w:tcW w:w="3021" w:type="dxa"/>
            <w:noWrap w:val="0"/>
            <w:vAlign w:val="center"/>
          </w:tcPr>
          <w:p>
            <w:pPr>
              <w:pageBreakBefore w:val="0"/>
              <w:kinsoku/>
              <w:wordWrap/>
              <w:overflowPunct/>
              <w:topLinePunct w:val="0"/>
              <w:bidi w:val="0"/>
              <w:snapToGrid/>
              <w:spacing w:line="480" w:lineRule="exact"/>
              <w:jc w:val="center"/>
              <w:rPr>
                <w:rFonts w:hint="eastAsia" w:ascii="宋体" w:hAnsi="宋体" w:eastAsia="宋体" w:cs="宋体"/>
                <w:color w:val="000000"/>
                <w:sz w:val="24"/>
                <w:szCs w:val="24"/>
              </w:rPr>
            </w:pPr>
          </w:p>
        </w:tc>
      </w:tr>
    </w:tbl>
    <w:p>
      <w:pPr>
        <w:pStyle w:val="3"/>
        <w:pageBreakBefore w:val="0"/>
        <w:kinsoku/>
        <w:wordWrap/>
        <w:overflowPunct/>
        <w:topLinePunct w:val="0"/>
        <w:bidi w:val="0"/>
        <w:snapToGrid/>
        <w:spacing w:before="0" w:after="0" w:line="480" w:lineRule="exact"/>
        <w:rPr>
          <w:rFonts w:hint="eastAsia" w:ascii="宋体" w:hAnsi="宋体" w:eastAsia="宋体" w:cs="宋体"/>
          <w:b/>
          <w:bCs/>
          <w:color w:val="000000"/>
          <w:sz w:val="28"/>
          <w:szCs w:val="28"/>
        </w:rPr>
      </w:pPr>
      <w:r>
        <w:rPr>
          <w:rFonts w:hint="eastAsia" w:ascii="宋体" w:hAnsi="宋体" w:eastAsia="宋体" w:cs="宋体"/>
          <w:kern w:val="2"/>
          <w:sz w:val="28"/>
          <w:szCs w:val="28"/>
        </w:rPr>
        <w:t>二、拟购</w:t>
      </w:r>
      <w:r>
        <w:rPr>
          <w:rFonts w:hint="eastAsia" w:cs="宋体"/>
          <w:kern w:val="2"/>
          <w:sz w:val="28"/>
          <w:szCs w:val="28"/>
          <w:lang w:eastAsia="zh-CN"/>
        </w:rPr>
        <w:t>设备</w:t>
      </w:r>
      <w:r>
        <w:rPr>
          <w:rFonts w:hint="eastAsia" w:ascii="宋体" w:hAnsi="宋体" w:eastAsia="宋体" w:cs="宋体"/>
          <w:kern w:val="2"/>
          <w:sz w:val="28"/>
          <w:szCs w:val="28"/>
        </w:rPr>
        <w:t>基本功能、配置、参数</w:t>
      </w:r>
      <w:r>
        <w:rPr>
          <w:rFonts w:hint="eastAsia" w:ascii="宋体" w:hAnsi="宋体" w:eastAsia="宋体" w:cs="宋体"/>
          <w:color w:val="000000"/>
          <w:sz w:val="28"/>
          <w:szCs w:val="28"/>
        </w:rPr>
        <w:t>技术及服务要求</w:t>
      </w:r>
    </w:p>
    <w:p>
      <w:pPr>
        <w:pageBreakBefore w:val="0"/>
        <w:kinsoku/>
        <w:wordWrap/>
        <w:overflowPunct/>
        <w:topLinePunct w:val="0"/>
        <w:bidi w:val="0"/>
        <w:snapToGrid/>
        <w:spacing w:line="48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子</w:t>
      </w:r>
      <w:r>
        <w:rPr>
          <w:rFonts w:hint="eastAsia" w:ascii="宋体" w:hAnsi="宋体" w:eastAsia="宋体" w:cs="宋体"/>
          <w:b/>
          <w:bCs/>
          <w:color w:val="000000"/>
          <w:sz w:val="28"/>
          <w:szCs w:val="28"/>
        </w:rPr>
        <w:t>项</w:t>
      </w:r>
      <w:r>
        <w:rPr>
          <w:rFonts w:hint="eastAsia" w:ascii="宋体" w:hAnsi="宋体" w:cs="宋体"/>
          <w:b/>
          <w:bCs/>
          <w:color w:val="000000"/>
          <w:sz w:val="28"/>
          <w:szCs w:val="28"/>
          <w:lang w:val="en-US" w:eastAsia="zh-CN"/>
        </w:rPr>
        <w:t>1</w:t>
      </w:r>
      <w:r>
        <w:rPr>
          <w:rFonts w:hint="eastAsia" w:ascii="宋体" w:hAnsi="宋体" w:eastAsia="宋体" w:cs="宋体"/>
          <w:b/>
          <w:bCs/>
          <w:color w:val="000000"/>
          <w:sz w:val="28"/>
          <w:szCs w:val="28"/>
        </w:rPr>
        <w:t>：</w:t>
      </w:r>
      <w:r>
        <w:rPr>
          <w:rFonts w:hint="eastAsia" w:ascii="宋体" w:hAnsi="宋体" w:cs="宋体"/>
          <w:b/>
          <w:bCs/>
          <w:kern w:val="2"/>
          <w:sz w:val="28"/>
          <w:szCs w:val="28"/>
          <w:lang w:val="en-US" w:eastAsia="zh-CN"/>
        </w:rPr>
        <w:t>持续数据保护平台</w:t>
      </w:r>
    </w:p>
    <w:p>
      <w:pPr>
        <w:pageBreakBefore w:val="0"/>
        <w:kinsoku/>
        <w:wordWrap/>
        <w:overflowPunct/>
        <w:topLinePunct w:val="0"/>
        <w:bidi w:val="0"/>
        <w:snapToGrid/>
        <w:spacing w:line="48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基本</w:t>
      </w:r>
      <w:r>
        <w:rPr>
          <w:rFonts w:hint="eastAsia" w:ascii="宋体" w:hAnsi="宋体" w:eastAsia="宋体" w:cs="宋体"/>
          <w:b/>
          <w:bCs/>
          <w:color w:val="000000"/>
          <w:sz w:val="28"/>
          <w:szCs w:val="28"/>
          <w:lang w:val="en-US" w:eastAsia="zh-CN"/>
        </w:rPr>
        <w:t>功能</w:t>
      </w:r>
      <w:r>
        <w:rPr>
          <w:rFonts w:hint="eastAsia" w:ascii="宋体" w:hAnsi="宋体" w:eastAsia="宋体" w:cs="宋体"/>
          <w:b/>
          <w:bCs/>
          <w:color w:val="000000"/>
          <w:sz w:val="28"/>
          <w:szCs w:val="28"/>
        </w:rPr>
        <w:t>、参数技术及服务要求：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为保证未来业务系统数量的增加，本次要求配置无限个Window/Linux的整机实时块级保护授权许可及接管许可，实时数据保护功能模块，提供≥</w:t>
      </w:r>
      <w:r>
        <w:rPr>
          <w:rFonts w:hint="eastAsia" w:ascii="宋体" w:hAnsi="宋体" w:cs="宋体"/>
          <w:kern w:val="2"/>
          <w:sz w:val="24"/>
          <w:szCs w:val="24"/>
          <w:lang w:val="en-US" w:eastAsia="zh-CN" w:bidi="ar"/>
        </w:rPr>
        <w:t>17</w:t>
      </w:r>
      <w:r>
        <w:rPr>
          <w:rFonts w:hint="eastAsia" w:ascii="宋体" w:hAnsi="宋体" w:eastAsia="宋体" w:cs="宋体"/>
          <w:kern w:val="2"/>
          <w:sz w:val="24"/>
          <w:szCs w:val="24"/>
          <w:lang w:val="en-US" w:eastAsia="zh-CN" w:bidi="ar"/>
        </w:rPr>
        <w:t>TB容灾保护容量授权许可；提供操作系统、应用程序和数据的一体化实时保护功能，含SSD缓存加速授权许可及顺序文件穿透许可，提供数据分层管理功能，提升容灾实时保护过程中的并发处理能力。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为保证灾备设备自身的安全性，要求此次灾备系统软件基于linux 操作系统，具备主动病毒防御功能；存储池采用非EXT、XFS等LINUX文件格式，无目录挂载结构，彻底杜绝篡改、底层拷贝、病毒感染可能。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含自动精简技术，并支持资源的动态匹配及“欺骗”模式，最大化提升容灾系统的空间利用率，容灾系统主动嗅探并匹配前端应用系统的资源消耗。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要求对业务系统更加全面的保护，要求此次提供业务系统的操作系统(OS)、应用程序(APP)和数据(DATA)的一体化容灾保护功能，支持ORACLE RAC\MSCS\ROSE\LVS等常用高可用环境下的自动漂移追踪保护，不接受采用预先配置虚拟机双机方式实现应急接管。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支持多种操作系统保护及恢复,支持整盘、分区数据在线快速恢复,数据提取时间与数据量无关，恢复的业务系统属性、UUID、归属、大小、权限等与原机保持完全一致。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为了让核心业务系统的数据得到最好的保护细粒度，让数据的丢失得到最大限度的控制，灾备系统基于数据块级别的连续数据保护机制,具备基于I/O的录像功能，任意I/O点均可无限次提取查看或启动业务系统，最小业务提取时间精度可以达到微秒级，可以通过I/O界面识别每一笔交易数据，具备真正的实时数据保护功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即要让业务系统得到最好的保护，并且不能对生产业务系统造成性能上过大的影响，要求此次支持基于X86架构平台及非X86架构平台的保护，且要求在保护过程中对生产服务器CPU影响度≤1%，内存占用≤20M。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能够直接查看每一个备份副本所占用的存储空间大小，并采用全局数据块差异同步传输技术，可以月/周/天/小时/分钟为周期单位产生数据副本，并支持副本复合技术及副本固化技术，提供灵活的管理策略。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支持容灾数据副本可随时使用（可读可写）,同一LUN的多个时间点的数据副本，可同时提取进行验证/查询比对操作。可支持每个LUN≥255个副本,并可以自定义对其生命周期和策略配置。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灾备平台支持同时保护物理服务器业务、虚拟化平台业务、云平台业务的能力；同时可支持≥100个以上生产系统的一体化操作系统(OS)、数据(DATA)、应用(APP)的容灾保护；当被保护的多个生产系统故障时，灾备平台支持无缝快速故障系统的接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13、支持NPIV虚拟化技术，能够允许多个 N 端口 ID 共享单个物理 N 端口，从而允许我们有一个占用相同物理端口的启动器、目标和备用启动器。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14、支持在生产服务器在保护正常运行的情况下，对目标磁盘的多个历史数据状态副本挂载到本机或者其他物理主机上，并支持本机/其他主机可针对该挂载副本进行读写操作，能够在不影响数据保护正常运行的情况下，用于灾备演练、数据分析和测试、事故还原平台或事故预处理平台等用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15、为了保证能对灾备数据有效性和可用性的快速核查，以及灾难演练便捷性并且不对生产业务系统造成任何的影响，要求支持快速的演练模拟及巡检核查，在应用及数据生产现场就能够完成灾备数据有效性和可用性的快速核查，并能够在10分钟内完成故障状态下数据的快速接管；演练模拟时的任何更改、删除动作不会对生产系统造成影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16、容灾系统测试演练，支持快速完成所有系统配置部分（系统配置、IP地址、机器名、服务启动状态等），且可同时生成和启动多个时间点容灾演练系统。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17、支持业务系统的操作系统、应用、数据一体化在线恢复，无需在对恢复目标安装操作系统配置软件拷贝数据等操作，恢复过程无需中断接管后的业务访问，支持在线全量恢复、接管后增量数据恢复。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hAnsi="宋体" w:eastAsia="宋体" w:cs="宋体"/>
          <w:color w:val="auto"/>
          <w:kern w:val="0"/>
          <w:sz w:val="24"/>
          <w:szCs w:val="24"/>
          <w:lang w:val="en-US" w:eastAsia="zh-CN" w:bidi="ar-SA"/>
        </w:rPr>
      </w:pPr>
      <w:r>
        <w:rPr>
          <w:rFonts w:hint="eastAsia" w:ascii="宋体" w:hAnsi="宋体" w:eastAsia="宋体" w:cs="宋体"/>
          <w:kern w:val="2"/>
          <w:sz w:val="24"/>
          <w:szCs w:val="24"/>
          <w:lang w:val="en-US" w:eastAsia="zh-CN" w:bidi="ar"/>
        </w:rPr>
        <w:t>18、能够兼容各种应用环境，包括各个主流版本的Window, Linux等；兼容AIX、HP-UX、Solaris、SCO Unix、MAC等UNIX操作系统；支持VMWare vSphere ESX/ESXi、Microsoft Hyper-V、KVM、XenServer、华为、华三等主流虚拟化平台。</w:t>
      </w:r>
    </w:p>
    <w:p>
      <w:pPr>
        <w:pageBreakBefore w:val="0"/>
        <w:kinsoku/>
        <w:wordWrap/>
        <w:overflowPunct/>
        <w:topLinePunct w:val="0"/>
        <w:bidi w:val="0"/>
        <w:snapToGrid/>
        <w:spacing w:line="480" w:lineRule="exact"/>
        <w:rPr>
          <w:rFonts w:hint="eastAsia" w:ascii="宋体" w:hAnsi="宋体" w:eastAsia="宋体" w:cs="宋体"/>
          <w:b/>
          <w:bCs/>
          <w:color w:val="000000"/>
          <w:sz w:val="28"/>
          <w:szCs w:val="28"/>
        </w:rPr>
      </w:pPr>
    </w:p>
    <w:p>
      <w:pPr>
        <w:pageBreakBefore w:val="0"/>
        <w:kinsoku/>
        <w:wordWrap/>
        <w:overflowPunct/>
        <w:topLinePunct w:val="0"/>
        <w:bidi w:val="0"/>
        <w:snapToGrid/>
        <w:spacing w:line="480" w:lineRule="exact"/>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val="en-US" w:eastAsia="zh-CN"/>
        </w:rPr>
        <w:t>子</w:t>
      </w:r>
      <w:r>
        <w:rPr>
          <w:rFonts w:hint="eastAsia" w:ascii="宋体" w:hAnsi="宋体" w:eastAsia="宋体" w:cs="宋体"/>
          <w:b/>
          <w:bCs/>
          <w:color w:val="000000"/>
          <w:sz w:val="28"/>
          <w:szCs w:val="28"/>
        </w:rPr>
        <w:t>项</w:t>
      </w:r>
      <w:r>
        <w:rPr>
          <w:rFonts w:hint="eastAsia" w:ascii="宋体" w:hAnsi="宋体" w:cs="宋体"/>
          <w:b/>
          <w:bCs/>
          <w:color w:val="000000"/>
          <w:sz w:val="28"/>
          <w:szCs w:val="28"/>
          <w:lang w:val="en-US" w:eastAsia="zh-CN"/>
        </w:rPr>
        <w:t>2</w:t>
      </w:r>
      <w:r>
        <w:rPr>
          <w:rFonts w:hint="eastAsia" w:ascii="宋体" w:hAnsi="宋体" w:eastAsia="宋体" w:cs="宋体"/>
          <w:b/>
          <w:bCs/>
          <w:color w:val="000000"/>
          <w:sz w:val="28"/>
          <w:szCs w:val="28"/>
        </w:rPr>
        <w:t>：</w:t>
      </w:r>
      <w:r>
        <w:rPr>
          <w:rFonts w:hint="eastAsia" w:ascii="宋体" w:hAnsi="宋体" w:cs="宋体"/>
          <w:b/>
          <w:bCs/>
          <w:kern w:val="2"/>
          <w:sz w:val="28"/>
          <w:szCs w:val="28"/>
          <w:lang w:val="en-US" w:eastAsia="zh-CN"/>
        </w:rPr>
        <w:t>数据备份与恢复平台</w:t>
      </w:r>
    </w:p>
    <w:p>
      <w:pPr>
        <w:pageBreakBefore w:val="0"/>
        <w:kinsoku/>
        <w:wordWrap/>
        <w:overflowPunct/>
        <w:topLinePunct w:val="0"/>
        <w:bidi w:val="0"/>
        <w:snapToGrid/>
        <w:spacing w:line="48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（二）基本功能、参数技术及服务要求：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4、本次配置不限数量的各类型数据（含操作系统、数据库、文件、虚拟机无代理备份）定时备份授权，不限制恢复点位。本次配置不少于96TB磁盘裸容量授权；需配置重复数据删除授权。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5、支持Windows、Linux等各类操作系统的各个版本；支持对SQL Server、Oracle、MySQL等主流数据库、支持国产数据库实现在线备份。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6、支持虚拟化无代理保护功能，包括VMware、Citrix XenServer、浪潮云海、华为Fusion Compute、H3C CAS、深信服超融合、OpenStack等，提供基于Vmware、华为Fusion Compute、H3C、深信服等主流虚拟化的单文件级细粒度恢复功能，无需恢复整个虚拟机，即可直接恢复丢失的数据，支持虚拟机恢复支持挂载瞬间恢复，几秒内恢复完整个虚拟机。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7、支持批量备份中应用关联的虚拟机并行备份，保证数据时间点一致，同时支持批量备份中多个非关联性虚拟机串行备份，降低对生产存储空间占用和性能影响；支持对虚拟机进行深度有效数据提取，只备份已经写入的数据，对于虚拟机中无备份价值的数据（包含交换文件块、分区间隙等）不进行备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8、支持在进行虚拟机恢复时，可灵活选择目标集群、资源池和存储资源；支持保留源虚拟机MAC地址恢复，支持恢复后自动打开虚拟机。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9、支持永久增量备份技术，初次备份对所有数据进行完全备份，之后只对新增加或改动过的数据做增量备份。每个增量备份的数据副本将自动合成为完全副本，能够大幅度减少备份时间，节省备份数据所需的存储空间，且提升了恢复效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10、支持备份任务的线程数配置，通过线程数调节平衡备份效率与负载。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11、支持备份数据的重复数据删除功能，提供全局重复数据删除特性，可灵活选择块大小进行重复数据删除，不限制重删容量和客户端，能实现在所有备份数据中仅保存唯一一份相同数据，最大限度的减少备份存储空间的使用，降低传输数据量，减轻带宽压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pPr>
      <w:r>
        <w:rPr>
          <w:rFonts w:hint="eastAsia" w:ascii="宋体" w:hAnsi="宋体" w:eastAsia="宋体" w:cs="宋体"/>
          <w:kern w:val="2"/>
          <w:sz w:val="24"/>
          <w:szCs w:val="24"/>
          <w:lang w:val="en-US" w:eastAsia="zh-CN" w:bidi="ar"/>
        </w:rPr>
        <w:t>12、要求以B/S方式进行配置管理，在同一个Web界面即可集中管理所有功能，包括管理存储资源、备份计划、恢复操作等策略；支持多用户、权限分离管理、基于角色的访问控制模式，提供基于WEB的图形管理界面，集中监控系统内所有任务的统一管理。</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20" w:firstLineChars="200"/>
        <w:jc w:val="both"/>
        <w:textAlignment w:val="auto"/>
      </w:pPr>
      <w:bookmarkStart w:id="0" w:name="_GoBack"/>
      <w:bookmarkEnd w:id="0"/>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4"/>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wM2JlYThiZGY2MjAzZWUwNGRhNDNhZDE3YWM3Y2MifQ=="/>
  </w:docVars>
  <w:rsids>
    <w:rsidRoot w:val="00563B7E"/>
    <w:rsid w:val="000B2706"/>
    <w:rsid w:val="0016195E"/>
    <w:rsid w:val="002A7F8C"/>
    <w:rsid w:val="0042680C"/>
    <w:rsid w:val="00563B7E"/>
    <w:rsid w:val="006E048B"/>
    <w:rsid w:val="112B46C3"/>
    <w:rsid w:val="18194E5B"/>
    <w:rsid w:val="18944B1B"/>
    <w:rsid w:val="311C0F49"/>
    <w:rsid w:val="3CD76FF9"/>
    <w:rsid w:val="3E3101FD"/>
    <w:rsid w:val="417C3111"/>
    <w:rsid w:val="42B661F2"/>
    <w:rsid w:val="58BC0A0F"/>
    <w:rsid w:val="5DA32B1A"/>
    <w:rsid w:val="60CB250D"/>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paragraph" w:customStyle="1" w:styleId="9">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10">
    <w:name w:val="List Paragraph"/>
    <w:basedOn w:val="1"/>
    <w:qFormat/>
    <w:uiPriority w:val="34"/>
    <w:pPr>
      <w:ind w:firstLine="420" w:firstLineChars="200"/>
    </w:pPr>
  </w:style>
  <w:style w:type="paragraph" w:customStyle="1" w:styleId="11">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2964</Words>
  <Characters>3366</Characters>
  <Lines>3</Lines>
  <Paragraphs>1</Paragraphs>
  <TotalTime>1</TotalTime>
  <ScaleCrop>false</ScaleCrop>
  <LinksUpToDate>false</LinksUpToDate>
  <CharactersWithSpaces>3404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2023-01-11T01:59:13Z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C8192EF20B7F4CC5A4E5A7DBECF73E56</vt:lpwstr>
  </property>
</Properties>
</file>